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22D6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  <w:bookmarkStart w:id="0" w:name="_GoBack"/>
      <w:bookmarkEnd w:id="0"/>
    </w:p>
    <w:p w14:paraId="3149E3CF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</w:p>
    <w:p w14:paraId="61683BA5" w14:textId="78736AB2" w:rsidR="2A17FE72" w:rsidRPr="003D53CC" w:rsidRDefault="6C1A3A14" w:rsidP="00F14591">
      <w:pPr>
        <w:jc w:val="both"/>
        <w:rPr>
          <w:rFonts w:ascii="Garamond" w:eastAsia="Arial" w:hAnsi="Garamond" w:cs="Times New Roman"/>
          <w:b/>
          <w:bCs/>
          <w:sz w:val="32"/>
          <w:szCs w:val="32"/>
        </w:rPr>
      </w:pPr>
      <w:r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CHECK LIST 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>RELATIV</w:t>
      </w:r>
      <w:r w:rsidR="75D75B16" w:rsidRPr="003D53CC">
        <w:rPr>
          <w:rFonts w:ascii="Garamond" w:eastAsia="Arial" w:hAnsi="Garamond" w:cs="Times New Roman"/>
          <w:b/>
          <w:bCs/>
          <w:sz w:val="32"/>
          <w:szCs w:val="32"/>
        </w:rPr>
        <w:t>E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AL RISPETTO DEL PRINCIPIO DEL “</w:t>
      </w:r>
      <w:r w:rsidR="57BCE7F8" w:rsidRPr="003D53CC">
        <w:rPr>
          <w:rFonts w:ascii="Garamond" w:eastAsia="Arial" w:hAnsi="Garamond" w:cs="Times New Roman"/>
          <w:b/>
          <w:bCs/>
          <w:i/>
          <w:iCs/>
          <w:sz w:val="32"/>
          <w:szCs w:val="32"/>
        </w:rPr>
        <w:t>DO NO SIGNIFICANT HARM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” (DNSH) DI CUI ALLA CIRCOLARE </w:t>
      </w:r>
      <w:bookmarkStart w:id="1" w:name="_Hlk160718876"/>
      <w:r w:rsidR="00C20004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MEF-RGS n. </w:t>
      </w:r>
      <w:bookmarkEnd w:id="1"/>
      <w:r w:rsidR="03B23C20" w:rsidRPr="003D53CC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00FD4EB3" w:rsidRPr="003D53CC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/2022 </w:t>
      </w:r>
      <w:r w:rsidR="3C1B2585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452421D6" w:rsidRPr="003D53CC">
        <w:rPr>
          <w:rFonts w:ascii="Garamond" w:eastAsia="Arial" w:hAnsi="Garamond" w:cs="Times New Roman"/>
          <w:b/>
          <w:bCs/>
          <w:sz w:val="32"/>
          <w:szCs w:val="32"/>
        </w:rPr>
        <w:t>SCHEDA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009E5E61" w:rsidRPr="003D53CC">
        <w:rPr>
          <w:rFonts w:ascii="Garamond" w:eastAsia="Arial" w:hAnsi="Garamond" w:cs="Times New Roman"/>
          <w:b/>
          <w:bCs/>
          <w:sz w:val="32"/>
          <w:szCs w:val="32"/>
        </w:rPr>
        <w:t>12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7B885070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E SCHEDA 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>5</w:t>
      </w:r>
      <w:r w:rsidR="52A87859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1B2D6BB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1B2D6BB8" w:rsidRPr="003D53CC">
        <w:rPr>
          <w:rFonts w:ascii="Garamond" w:eastAsia="Arial" w:hAnsi="Garamond" w:cs="Times New Roman"/>
          <w:b/>
          <w:bCs/>
          <w:sz w:val="32"/>
          <w:szCs w:val="32"/>
          <w:u w:val="single"/>
        </w:rPr>
        <w:t>FASE</w:t>
      </w:r>
      <w:r w:rsidR="2A17FE72" w:rsidRPr="003D53CC">
        <w:rPr>
          <w:rFonts w:ascii="Garamond" w:eastAsia="Arial" w:hAnsi="Garamond" w:cs="Times New Roman"/>
          <w:b/>
          <w:bCs/>
          <w:sz w:val="32"/>
          <w:szCs w:val="32"/>
          <w:u w:val="single"/>
        </w:rPr>
        <w:t xml:space="preserve"> EX ANTE</w:t>
      </w:r>
      <w:r w:rsidR="00F14591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</w:p>
    <w:p w14:paraId="1697CC64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</w:p>
    <w:tbl>
      <w:tblPr>
        <w:tblStyle w:val="Grigliatabella"/>
        <w:tblW w:w="15345" w:type="dxa"/>
        <w:tblLayout w:type="fixed"/>
        <w:tblLook w:val="06A0" w:firstRow="1" w:lastRow="0" w:firstColumn="1" w:lastColumn="0" w:noHBand="1" w:noVBand="1"/>
      </w:tblPr>
      <w:tblGrid>
        <w:gridCol w:w="1340"/>
        <w:gridCol w:w="961"/>
        <w:gridCol w:w="6933"/>
        <w:gridCol w:w="2085"/>
        <w:gridCol w:w="4026"/>
      </w:tblGrid>
      <w:tr w:rsidR="7F27F451" w14:paraId="0B6C678F" w14:textId="77777777" w:rsidTr="004D5DF9">
        <w:trPr>
          <w:trHeight w:val="210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14:paraId="46399E72" w14:textId="5E9C45A5" w:rsidR="01B4C926" w:rsidRDefault="01B4C926" w:rsidP="00BA67FD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Scheda </w:t>
            </w:r>
            <w:r w:rsidR="009E5E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12</w:t>
            </w:r>
            <w:r w:rsidR="7F27F451"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r w:rsidR="00875E17" w:rsidRPr="00875E1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Produzione elettricità da pannelli solari</w:t>
            </w:r>
          </w:p>
        </w:tc>
      </w:tr>
      <w:tr w:rsidR="7F27F451" w14:paraId="6518EE2F" w14:textId="77777777" w:rsidTr="004D5DF9">
        <w:trPr>
          <w:trHeight w:val="175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3FBAC" w14:textId="338832AB" w:rsidR="7F27F451" w:rsidRDefault="7F27F451" w:rsidP="005B6AB8">
            <w:pPr>
              <w:jc w:val="center"/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76026D" w14:paraId="45F8BCB2" w14:textId="77777777" w:rsidTr="00A42E24">
        <w:trPr>
          <w:trHeight w:val="421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E5D64A" w14:textId="503EDB03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4370B07" w14:textId="3B12CE6E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5BF113" w14:textId="51A752B5" w:rsidR="4E2E19D7" w:rsidRDefault="00B26B6F" w:rsidP="009B057B">
            <w:pPr>
              <w:ind w:left="-20" w:right="-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09FC701" w14:textId="3E3D30C5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 w:rsidR="00C20004">
              <w:rPr>
                <w:rStyle w:val="Rimandonotaapidipagina"/>
              </w:rPr>
              <w:footnoteReference w:id="1"/>
            </w:r>
            <w:r>
              <w:br/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(Sì/</w:t>
            </w:r>
            <w:r w:rsidR="009E0D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EE58E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No/</w:t>
            </w:r>
            <w:r w:rsidR="009E0D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7362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</w:t>
            </w:r>
            <w:r w:rsidR="0026341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</w:t>
            </w:r>
            <w:r w:rsidR="007362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 w:rsidR="0026341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ile</w:t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8DEF53D" w14:textId="0AC751D5" w:rsidR="71C04B40" w:rsidRDefault="71C04B40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Commento</w:t>
            </w:r>
          </w:p>
          <w:p w14:paraId="256201C6" w14:textId="31566C79" w:rsidR="4E2E19D7" w:rsidRPr="00F077AC" w:rsidRDefault="71C04B40" w:rsidP="00F077AC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(obbligatorio in caso di </w:t>
            </w:r>
            <w:r w:rsidR="00C2000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risposta N</w:t>
            </w:r>
            <w:r w:rsidR="00783EE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</w:t>
            </w:r>
            <w:r w:rsidR="00C2000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 </w:t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N/A)</w:t>
            </w:r>
          </w:p>
        </w:tc>
      </w:tr>
      <w:tr w:rsidR="00B55E16" w14:paraId="1B82A677" w14:textId="77777777" w:rsidTr="00A42E24">
        <w:trPr>
          <w:trHeight w:val="47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0C952701" w14:textId="06E05AC8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Ex-ante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2E90F" w14:textId="10207C98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2788" w14:textId="249D88E6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Il progetto di produzione di elettricità da pannelli solari segue le disposizioni del CEI o in generale rispetta le migliori tecniche disponibili per massimizzare la produzione di elettricità da pannelli solari, anche in relazione alle norme di connessione?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A088" w14:textId="5006BD3B" w:rsidR="00B55E16" w:rsidRPr="00AA5B52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1A31" w14:textId="74C14EA0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53AABB1B" w14:textId="77777777" w:rsidTr="00A42E24">
        <w:trPr>
          <w:trHeight w:val="166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C55B4" w14:textId="77777777" w:rsidR="00B55E16" w:rsidRDefault="00B55E16" w:rsidP="00AA5B5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6B2C" w14:textId="2C7B971C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FEC1B" w14:textId="6457BD3F" w:rsidR="00B55E16" w:rsidRDefault="00B55E16" w:rsidP="7F8B175E">
            <w:pPr>
              <w:ind w:left="-20" w:right="-20"/>
              <w:jc w:val="center"/>
            </w:pPr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I pannelli fotovoltaici </w:t>
            </w:r>
            <w:r w:rsidR="00C20004">
              <w:rPr>
                <w:rFonts w:ascii="Calibri" w:eastAsia="Calibri" w:hAnsi="Calibri" w:cs="Calibri"/>
                <w:color w:val="000000" w:themeColor="text1"/>
              </w:rPr>
              <w:t xml:space="preserve">sono dotati </w:t>
            </w:r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della Marcatura CE e, ove necessario anche della certificazione di conformità alla direttiva </w:t>
            </w:r>
            <w:proofErr w:type="spellStart"/>
            <w:r w:rsidRPr="7F8B175E">
              <w:rPr>
                <w:rFonts w:ascii="Calibri" w:eastAsia="Calibri" w:hAnsi="Calibri" w:cs="Calibri"/>
                <w:color w:val="000000" w:themeColor="text1"/>
              </w:rPr>
              <w:t>Rohs</w:t>
            </w:r>
            <w:proofErr w:type="spellEnd"/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 e al regolamento Reach, oppure rispond</w:t>
            </w:r>
            <w:r w:rsidR="00C20004">
              <w:rPr>
                <w:rFonts w:ascii="Calibri" w:eastAsia="Calibri" w:hAnsi="Calibri" w:cs="Calibri"/>
                <w:color w:val="000000" w:themeColor="text1"/>
              </w:rPr>
              <w:t>ono</w:t>
            </w:r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 ai criteri previsti dal GSE</w:t>
            </w:r>
            <w:r w:rsidR="00783EE7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3A1B" w14:textId="2D966A75" w:rsidR="00B55E16" w:rsidRPr="00AA5B52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7D5EE" w14:textId="0536070E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2150F772" w14:textId="77777777" w:rsidTr="00A42E24">
        <w:trPr>
          <w:trHeight w:val="237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D44501" w14:textId="77777777" w:rsidR="00B55E16" w:rsidRDefault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F2699A8" w14:textId="219B0AF6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A9459C2" w14:textId="792EA1FA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È stata condotta un'analisi dei rischi climatici fisici funzione del luogo di ubicazione così come definita nell'appendice 1 della Guida Operativa</w:t>
            </w:r>
            <w:r>
              <w:rPr>
                <w:rStyle w:val="Rimandonotaapidipagina"/>
                <w:rFonts w:ascii="Calibri" w:eastAsia="Calibri" w:hAnsi="Calibri" w:cs="Calibri"/>
                <w:color w:val="000000" w:themeColor="text1"/>
              </w:rPr>
              <w:footnoteReference w:id="2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>, per impianti di potenza superiore a 1 MW?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7A415F2" w14:textId="10CF9CD9" w:rsidR="00B55E16" w:rsidRPr="00AA5B52" w:rsidRDefault="00B55E16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63C1566" w14:textId="0B580BE6" w:rsidR="00B55E16" w:rsidRDefault="00B55E16" w:rsidP="4E2E19D7">
            <w:pPr>
              <w:spacing w:line="259" w:lineRule="auto"/>
              <w:jc w:val="center"/>
              <w:rPr>
                <w:rFonts w:asciiTheme="minorHAnsi" w:hAnsiTheme="minorHAnsi"/>
              </w:rPr>
            </w:pPr>
            <w:r w:rsidRPr="4E2E19D7">
              <w:rPr>
                <w:rFonts w:asciiTheme="minorHAnsi" w:hAnsiTheme="minorHAnsi"/>
              </w:rPr>
              <w:t>Impianti incentivabili &lt;1 MW</w:t>
            </w:r>
          </w:p>
        </w:tc>
      </w:tr>
      <w:tr w:rsidR="00B55E16" w14:paraId="414F2555" w14:textId="77777777" w:rsidTr="00A42E24">
        <w:trPr>
          <w:trHeight w:val="646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7E5067" w14:textId="77777777" w:rsidR="00B55E16" w:rsidRDefault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8539" w14:textId="6A389A59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76F5B" w14:textId="1503F7DA" w:rsidR="00B55E16" w:rsidRDefault="00C20004" w:rsidP="7F8B175E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Sono </w:t>
            </w:r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 xml:space="preserve">rispettati gli obblighi previsti dal </w:t>
            </w:r>
            <w:proofErr w:type="spellStart"/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>D.Lgs.</w:t>
            </w:r>
            <w:proofErr w:type="spellEnd"/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 xml:space="preserve"> 49/2014 e dal </w:t>
            </w:r>
            <w:proofErr w:type="spellStart"/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>D.Lgs.</w:t>
            </w:r>
            <w:proofErr w:type="spellEnd"/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 xml:space="preserve"> 118/2020 da parte del produttore di Apparecchiature Elettriche ed Elettroniche (nel seguito, AEE) anche attraverso l’iscrizione dello stesso nell’apposito Registro dei produttori AEE?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360B9" w14:textId="7E7EE52A" w:rsidR="00B55E16" w:rsidRPr="00C65F9B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F45F5" w14:textId="7FFC4FC1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317AA16D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8B3707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AD492" w14:textId="59B917B4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9B463" w14:textId="41FB7719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Per le strutture situate in aree sensibili</w:t>
            </w:r>
            <w:r w:rsidR="00E15CDF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3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 xml:space="preserve"> sotto il profilo della biodiversità o in prossimità di esse, è stata svolta una verifica preliminare, mediante </w:t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censimento </w:t>
            </w:r>
            <w:proofErr w:type="spellStart"/>
            <w:r w:rsidRPr="4E2E19D7">
              <w:rPr>
                <w:rFonts w:ascii="Calibri" w:eastAsia="Calibri" w:hAnsi="Calibri" w:cs="Calibri"/>
                <w:color w:val="000000" w:themeColor="text1"/>
              </w:rPr>
              <w:t>floro</w:t>
            </w:r>
            <w:proofErr w:type="spellEnd"/>
            <w:r w:rsidRPr="4E2E19D7">
              <w:rPr>
                <w:rFonts w:ascii="Calibri" w:eastAsia="Calibri" w:hAnsi="Calibri" w:cs="Calibri"/>
                <w:color w:val="000000" w:themeColor="text1"/>
              </w:rPr>
              <w:t>-faunistico, dell’assenza di habitat di specie (flora e fauna) in pericolo elencate nella lista rossa europea o nella lista rossa dell'IUCN</w:t>
            </w:r>
            <w:r w:rsidR="00E15CDF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4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A2183" w14:textId="68E259FF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49FFE" w14:textId="343EF8E6" w:rsidR="00B55E16" w:rsidRDefault="00643F89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struttura non è situata in aree sensibili sotto il profilo della biodiversità</w:t>
            </w:r>
          </w:p>
        </w:tc>
      </w:tr>
      <w:tr w:rsidR="00B55E16" w14:paraId="0E42585B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2C4C93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29E82" w14:textId="2CCF276A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7CBDA" w14:textId="1B02031D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Per aree naturali protette (quali ad esempio parchi nazionali, parchi interregionali, parchi regionali, aree marine protette etc.…), è stato ottenuto il nulla osta degli enti competenti?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42FE2" w14:textId="6C4D3427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DA1BC" w14:textId="7C0DDE42" w:rsidR="00B55E16" w:rsidRDefault="00156FA3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L’i</w:t>
            </w:r>
            <w:r w:rsidR="0073622B">
              <w:rPr>
                <w:rFonts w:asciiTheme="minorHAnsi" w:hAnsiTheme="minorHAnsi"/>
              </w:rPr>
              <w:t>ntervento non ricade in aree naturali protette</w:t>
            </w:r>
          </w:p>
        </w:tc>
      </w:tr>
      <w:tr w:rsidR="00B55E16" w14:paraId="2B4044DF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6570A5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F358B" w14:textId="2227CAE0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5F9E7" w14:textId="256ED245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Laddove sia ipotizzabile un’incidenza diretta o indiretta sui siti della Rete Natura 2000 l’intervento è stato sottoposto a Valutazione di Incidenza (DPR 357/97)?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0D5AE" w14:textId="1C429D2A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247FB" w14:textId="58D60F20" w:rsidR="00B55E16" w:rsidRDefault="00156FA3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L’intervento non è </w:t>
            </w:r>
            <w:r w:rsidRPr="008E4EE9">
              <w:rPr>
                <w:rFonts w:asciiTheme="minorHAnsi" w:hAnsiTheme="minorHAnsi"/>
              </w:rPr>
              <w:t>situat</w:t>
            </w:r>
            <w:r>
              <w:rPr>
                <w:rFonts w:asciiTheme="minorHAnsi" w:hAnsiTheme="minorHAnsi"/>
              </w:rPr>
              <w:t>o</w:t>
            </w:r>
            <w:r w:rsidRPr="008E4EE9">
              <w:rPr>
                <w:rFonts w:asciiTheme="minorHAnsi" w:hAnsiTheme="minorHAnsi"/>
              </w:rPr>
              <w:t xml:space="preserve"> in siti della Rete Natura 2000</w:t>
            </w:r>
          </w:p>
        </w:tc>
      </w:tr>
    </w:tbl>
    <w:p w14:paraId="4DCFBC86" w14:textId="565EEA8F" w:rsidR="7F27F451" w:rsidRDefault="7F27F451" w:rsidP="7F27F451">
      <w:pPr>
        <w:spacing w:line="240" w:lineRule="auto"/>
        <w:jc w:val="both"/>
      </w:pPr>
    </w:p>
    <w:p w14:paraId="1259564E" w14:textId="627B285B" w:rsidR="00812C21" w:rsidRDefault="00812C21" w:rsidP="7F27F451">
      <w:pPr>
        <w:spacing w:line="240" w:lineRule="auto"/>
        <w:jc w:val="both"/>
      </w:pPr>
    </w:p>
    <w:p w14:paraId="7B6FA5E8" w14:textId="77777777" w:rsidR="00A049CE" w:rsidRDefault="00A049CE" w:rsidP="7F27F451">
      <w:pPr>
        <w:spacing w:line="240" w:lineRule="auto"/>
        <w:jc w:val="both"/>
      </w:pPr>
    </w:p>
    <w:p w14:paraId="10AC1A78" w14:textId="77777777" w:rsidR="00A049CE" w:rsidRDefault="00A049CE" w:rsidP="7F27F451">
      <w:pPr>
        <w:spacing w:line="240" w:lineRule="auto"/>
        <w:jc w:val="both"/>
      </w:pPr>
    </w:p>
    <w:p w14:paraId="0F3F6430" w14:textId="77777777" w:rsidR="00A049CE" w:rsidRDefault="00A049CE" w:rsidP="7F27F451">
      <w:pPr>
        <w:spacing w:line="240" w:lineRule="auto"/>
        <w:jc w:val="both"/>
      </w:pPr>
    </w:p>
    <w:p w14:paraId="0B57B136" w14:textId="77777777" w:rsidR="00A049CE" w:rsidRDefault="00A049CE" w:rsidP="7F27F451">
      <w:pPr>
        <w:spacing w:line="240" w:lineRule="auto"/>
        <w:jc w:val="both"/>
      </w:pPr>
    </w:p>
    <w:p w14:paraId="7E82AA24" w14:textId="77777777" w:rsidR="00A049CE" w:rsidRDefault="00A049CE" w:rsidP="7F27F451">
      <w:pPr>
        <w:spacing w:line="240" w:lineRule="auto"/>
        <w:jc w:val="both"/>
      </w:pPr>
    </w:p>
    <w:p w14:paraId="63538DE0" w14:textId="77777777" w:rsidR="00A049CE" w:rsidRDefault="00A049CE" w:rsidP="7F27F451">
      <w:pPr>
        <w:spacing w:line="240" w:lineRule="auto"/>
        <w:jc w:val="both"/>
      </w:pPr>
    </w:p>
    <w:p w14:paraId="290EE6DC" w14:textId="77777777" w:rsidR="00A049CE" w:rsidRDefault="00A049CE" w:rsidP="7F27F451">
      <w:pPr>
        <w:spacing w:line="240" w:lineRule="auto"/>
        <w:jc w:val="both"/>
      </w:pPr>
    </w:p>
    <w:p w14:paraId="24C27EF2" w14:textId="77777777" w:rsidR="00A049CE" w:rsidRDefault="00A049CE" w:rsidP="7F27F451">
      <w:pPr>
        <w:spacing w:line="240" w:lineRule="auto"/>
        <w:jc w:val="both"/>
      </w:pPr>
    </w:p>
    <w:p w14:paraId="15462499" w14:textId="77777777" w:rsidR="00A049CE" w:rsidRDefault="00A049CE" w:rsidP="7F27F451">
      <w:pPr>
        <w:spacing w:line="240" w:lineRule="auto"/>
        <w:jc w:val="both"/>
      </w:pPr>
    </w:p>
    <w:p w14:paraId="31C1218E" w14:textId="77777777" w:rsidR="00A049CE" w:rsidRDefault="00A049CE" w:rsidP="7F27F451">
      <w:pPr>
        <w:spacing w:line="240" w:lineRule="auto"/>
        <w:jc w:val="both"/>
      </w:pPr>
    </w:p>
    <w:p w14:paraId="13043BCA" w14:textId="77777777" w:rsidR="00A049CE" w:rsidRDefault="00A049CE" w:rsidP="7F27F451">
      <w:pPr>
        <w:spacing w:line="240" w:lineRule="auto"/>
        <w:jc w:val="both"/>
      </w:pPr>
    </w:p>
    <w:p w14:paraId="26D1FAAA" w14:textId="77777777" w:rsidR="00A049CE" w:rsidRDefault="00A049CE" w:rsidP="7F27F451">
      <w:pPr>
        <w:spacing w:line="240" w:lineRule="auto"/>
        <w:jc w:val="both"/>
      </w:pPr>
    </w:p>
    <w:p w14:paraId="2DB1BE13" w14:textId="77777777" w:rsidR="00A049CE" w:rsidRDefault="00A049CE" w:rsidP="7F27F451">
      <w:pPr>
        <w:spacing w:line="240" w:lineRule="auto"/>
        <w:jc w:val="both"/>
      </w:pPr>
    </w:p>
    <w:p w14:paraId="330C4D6B" w14:textId="77777777" w:rsidR="00A049CE" w:rsidRDefault="00A049CE" w:rsidP="7F27F451">
      <w:pPr>
        <w:spacing w:line="240" w:lineRule="auto"/>
        <w:jc w:val="both"/>
      </w:pPr>
    </w:p>
    <w:p w14:paraId="32922101" w14:textId="77777777" w:rsidR="00A049CE" w:rsidRDefault="00A049CE" w:rsidP="7F27F451">
      <w:pPr>
        <w:spacing w:line="240" w:lineRule="auto"/>
        <w:jc w:val="both"/>
      </w:pPr>
    </w:p>
    <w:p w14:paraId="40C98AE7" w14:textId="77777777" w:rsidR="00A049CE" w:rsidRDefault="00A049CE" w:rsidP="7F27F451">
      <w:pPr>
        <w:spacing w:line="240" w:lineRule="auto"/>
        <w:jc w:val="both"/>
      </w:pPr>
    </w:p>
    <w:p w14:paraId="79545B8C" w14:textId="13D037A2" w:rsidR="00CC2EB9" w:rsidRDefault="002553D4" w:rsidP="003D53CC">
      <w:pPr>
        <w:ind w:right="89"/>
        <w:jc w:val="both"/>
        <w:rPr>
          <w:sz w:val="36"/>
          <w:szCs w:val="36"/>
          <w:u w:val="single"/>
        </w:rPr>
      </w:pPr>
      <w:bookmarkStart w:id="4" w:name="_Hlk160717968"/>
      <w:bookmarkStart w:id="5" w:name="_Hlk161139342"/>
      <w:bookmarkStart w:id="6" w:name="_Hlk159498575"/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N.B.: LA SEGUENTE SCHEDA (SCHEDA 5) VA COMPILATA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SOLO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PER GLI INTERVENTI CHE PREVEDONO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 xml:space="preserve">CANTIERI TEMPORANEI O MOBILI DI DIMENSIONE SUPERIORE AI 5.000 </w:t>
      </w:r>
      <w:r w:rsidRPr="00213AAA">
        <w:rPr>
          <w:rFonts w:asciiTheme="minorHAnsi" w:hAnsiTheme="minorHAnsi" w:cstheme="minorHAnsi"/>
          <w:b/>
          <w:bCs/>
          <w:sz w:val="28"/>
          <w:szCs w:val="28"/>
          <w:u w:val="single"/>
        </w:rPr>
        <w:t>mq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E L’APERTURA DI UN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CAMPO BASE</w:t>
      </w:r>
      <w:bookmarkEnd w:id="4"/>
      <w:r w:rsidR="00CC2EB9" w:rsidRPr="003D53CC">
        <w:rPr>
          <w:rStyle w:val="Rimandonotaapidipagina"/>
          <w:sz w:val="32"/>
          <w:szCs w:val="32"/>
        </w:rPr>
        <w:footnoteReference w:id="5"/>
      </w:r>
    </w:p>
    <w:bookmarkEnd w:id="5"/>
    <w:p w14:paraId="1C612C3F" w14:textId="77777777" w:rsidR="00F9118E" w:rsidRDefault="00F9118E" w:rsidP="00125655">
      <w:pPr>
        <w:pStyle w:val="Testonotaapidipagina"/>
      </w:pPr>
    </w:p>
    <w:p w14:paraId="3B557066" w14:textId="6C205344" w:rsidR="00F9118E" w:rsidRDefault="00F9118E" w:rsidP="00125655">
      <w:pPr>
        <w:pStyle w:val="Testonotaapidipagina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922"/>
        <w:gridCol w:w="6946"/>
        <w:gridCol w:w="2126"/>
        <w:gridCol w:w="3969"/>
      </w:tblGrid>
      <w:tr w:rsidR="0021212F" w:rsidRPr="0021212F" w14:paraId="6315809E" w14:textId="77777777" w:rsidTr="003D53CC">
        <w:trPr>
          <w:trHeight w:val="369"/>
        </w:trPr>
        <w:tc>
          <w:tcPr>
            <w:tcW w:w="15304" w:type="dxa"/>
            <w:gridSpan w:val="5"/>
            <w:shd w:val="clear" w:color="auto" w:fill="FCE4D6"/>
            <w:vAlign w:val="bottom"/>
            <w:hideMark/>
          </w:tcPr>
          <w:p w14:paraId="5621A075" w14:textId="5DAED5D7" w:rsidR="0021212F" w:rsidRPr="0036081F" w:rsidRDefault="0021212F" w:rsidP="003D53C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3D53C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Scheda 5 - Interventi edili e cantieristica generica non connessi con la costruzione/rinnovamento di edifici</w:t>
            </w:r>
            <w:r w:rsidR="0036081F">
              <w:rPr>
                <w:rStyle w:val="Rimandonotaapidipagina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footnoteReference w:id="6"/>
            </w:r>
          </w:p>
        </w:tc>
      </w:tr>
      <w:tr w:rsidR="0021212F" w:rsidRPr="0021212F" w14:paraId="3548B128" w14:textId="77777777" w:rsidTr="003D53CC">
        <w:trPr>
          <w:trHeight w:val="68"/>
        </w:trPr>
        <w:tc>
          <w:tcPr>
            <w:tcW w:w="15304" w:type="dxa"/>
            <w:gridSpan w:val="5"/>
            <w:shd w:val="clear" w:color="auto" w:fill="auto"/>
            <w:noWrap/>
            <w:vAlign w:val="bottom"/>
            <w:hideMark/>
          </w:tcPr>
          <w:p w14:paraId="6B65A3C5" w14:textId="6EDDD378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Verifiche e controlli da condurre per garantire il principio DNSH</w:t>
            </w:r>
          </w:p>
        </w:tc>
      </w:tr>
      <w:tr w:rsidR="0021212F" w:rsidRPr="0021212F" w14:paraId="02162F8C" w14:textId="77777777" w:rsidTr="003D53CC">
        <w:trPr>
          <w:trHeight w:val="588"/>
        </w:trPr>
        <w:tc>
          <w:tcPr>
            <w:tcW w:w="1341" w:type="dxa"/>
            <w:shd w:val="clear" w:color="auto" w:fill="D9D9D9" w:themeFill="background1" w:themeFillShade="D9"/>
            <w:vAlign w:val="center"/>
            <w:hideMark/>
          </w:tcPr>
          <w:p w14:paraId="40C11749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922" w:type="dxa"/>
            <w:shd w:val="clear" w:color="auto" w:fill="D9D9D9" w:themeFill="background1" w:themeFillShade="D9"/>
            <w:noWrap/>
            <w:vAlign w:val="center"/>
            <w:hideMark/>
          </w:tcPr>
          <w:p w14:paraId="4AA7177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073D4406" w14:textId="6098B2CE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4EA7E34" w14:textId="77777777" w:rsidR="007D2B7A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  <w:r w:rsidR="00096379">
              <w:rPr>
                <w:rStyle w:val="Rimandonotaapidipagina"/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footnoteReference w:id="7"/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  <w:p w14:paraId="54674856" w14:textId="7774BFAE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(Sì/</w:t>
            </w:r>
            <w:r w:rsidR="00507B32" w:rsidRPr="0021212F" w:rsidDel="00507B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EE58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No/ </w:t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Non applicabile)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  <w:hideMark/>
          </w:tcPr>
          <w:p w14:paraId="07ED43B6" w14:textId="77777777" w:rsidR="007D2B7A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Commento </w:t>
            </w:r>
          </w:p>
          <w:p w14:paraId="194EE0E3" w14:textId="61A812FC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(obbligatorio in caso di </w:t>
            </w:r>
            <w:r w:rsidR="00783EE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risposta No e </w:t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N/A)</w:t>
            </w:r>
          </w:p>
        </w:tc>
      </w:tr>
      <w:tr w:rsidR="00476EA6" w:rsidRPr="0021212F" w14:paraId="37CF903C" w14:textId="77777777" w:rsidTr="003D53CC">
        <w:trPr>
          <w:trHeight w:val="288"/>
        </w:trPr>
        <w:tc>
          <w:tcPr>
            <w:tcW w:w="1341" w:type="dxa"/>
            <w:vMerge w:val="restart"/>
            <w:shd w:val="clear" w:color="auto" w:fill="E7E6E6" w:themeFill="background2"/>
            <w:vAlign w:val="center"/>
            <w:hideMark/>
          </w:tcPr>
          <w:p w14:paraId="282AC17D" w14:textId="77777777" w:rsidR="00476EA6" w:rsidRPr="0021212F" w:rsidRDefault="00476EA6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Ex-ante</w:t>
            </w:r>
          </w:p>
        </w:tc>
        <w:tc>
          <w:tcPr>
            <w:tcW w:w="13963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36B0CDAF" w14:textId="73576C2A" w:rsidR="00476EA6" w:rsidRPr="0021212F" w:rsidRDefault="00476EA6" w:rsidP="00812C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 punti 1 e 2 sono da considerarsi come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el</w:t>
            </w: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ementi di premialità</w:t>
            </w:r>
          </w:p>
        </w:tc>
      </w:tr>
      <w:tr w:rsidR="0021212F" w:rsidRPr="0021212F" w14:paraId="3167E638" w14:textId="77777777" w:rsidTr="003D53CC">
        <w:trPr>
          <w:trHeight w:val="711"/>
        </w:trPr>
        <w:tc>
          <w:tcPr>
            <w:tcW w:w="1341" w:type="dxa"/>
            <w:vMerge/>
            <w:vAlign w:val="center"/>
            <w:hideMark/>
          </w:tcPr>
          <w:p w14:paraId="30DD2996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2F912687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6E7FC40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presente una dichiarazione del fornitore di energia elettrica relativa all’impegno di garantire fornitura elettrica prodotta al 100% da fonti rinnovabili?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368F7F0E" w14:textId="5688F7B2" w:rsidR="0021212F" w:rsidRPr="003D53CC" w:rsidRDefault="00812C21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3A0A1F84" w14:textId="5B858FE1" w:rsidR="0021212F" w:rsidRPr="0021212F" w:rsidRDefault="0021212F" w:rsidP="003D53CC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21212F" w:rsidRPr="0021212F" w14:paraId="2CDE9302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79F7AEF5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2DFFEB2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4DEE3F6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previsto l’impiego di mezzi con le caratteristiche di efficienza indicate nella relativa scheda tecnica?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4803C170" w14:textId="1F62A78C" w:rsidR="0021212F" w:rsidRPr="003D53CC" w:rsidRDefault="00812C21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  <w:r w:rsidR="0021212F"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5320D029" w14:textId="2DED8195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21212F" w:rsidRPr="0021212F" w14:paraId="476B21D0" w14:textId="77777777" w:rsidTr="003D53CC">
        <w:trPr>
          <w:trHeight w:val="690"/>
        </w:trPr>
        <w:tc>
          <w:tcPr>
            <w:tcW w:w="1341" w:type="dxa"/>
            <w:vMerge/>
            <w:vAlign w:val="center"/>
            <w:hideMark/>
          </w:tcPr>
          <w:p w14:paraId="71BA6C98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7E4FE41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6FAC0F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previsto uno studio Geologico e idrogeologico relativo alla pericolosità dell’area di cantiere per la verifica di condizioni di rischio idrogeologico?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CA2DF5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51E281" w14:textId="10A28284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056A722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73FD162E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F48D8F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8B7AE08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previsto uno studio per valutare il grado di rischio idraulico associato alle aree di cantiere?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9C34E1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A5A2FB" w14:textId="4575BB59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3F61D91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5FA9ABC3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B2F4C2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088643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stata verificata la necessità della redazione del Piano di gestione Acque Meteoriche di Dilavamento (AMD)?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7A07E4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8DBB94" w14:textId="50A1246A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29595087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27D1DCF0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915A2A7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E0DB4BE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 caso di apertura di uno scarico di acque reflue, sono state chieste le necessarie autorizzazioni?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DB88DB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1E1D5E" w14:textId="50FEE39A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3F89158C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6273196B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4A2F78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B00130D" w14:textId="282AE659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sviluppato il bilancio idrico dell</w:t>
            </w:r>
            <w:r w:rsidR="00B26B6F"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attività di cantiere?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E794FE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4BA1C0" w14:textId="5D6E76C4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4445F479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090C6AB0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C6598B6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0A04F7E" w14:textId="491832E3" w:rsidR="00812C21" w:rsidRPr="00E36D95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6D95">
              <w:rPr>
                <w:rFonts w:ascii="Calibri" w:eastAsia="Calibri" w:hAnsi="Calibri" w:cs="Calibri"/>
                <w:color w:val="000000" w:themeColor="text1"/>
              </w:rPr>
              <w:t xml:space="preserve">È stato redatto il Piano di </w:t>
            </w:r>
            <w:r w:rsidRPr="00E36D95">
              <w:rPr>
                <w:rFonts w:ascii="Calibri" w:eastAsia="Calibri" w:hAnsi="Calibri" w:cs="Calibri"/>
              </w:rPr>
              <w:t>gestione rifiuti, nel quale si preveda che almeno il 70% (in termini di peso) dei rifiuti da costruzione e demolizione non pericolosi (escluso il materiale allo stato naturale definito alla voce 17 05 04 dell'elenco europeo dei rifiuti istituito dalla decisione 2000/532/CE) prodotti in cantiere sia preparato per il riutilizzo, il riciclaggio e altri tipi di recupero di materiale, conformemente alla gerarchia dei rifiuti e al protocollo UE per la gestione dei rifiuti da costruzione e demolizione?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16524A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5FBF98" w14:textId="71CF25A7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48E47D9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4AC0A005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AC7C664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D12DDB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sviluppato il bilancio materie?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D0AB32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445E5A" w14:textId="32E45973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1B7640F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00B2A3A3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603C43E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0306151F" w14:textId="10D3B6D5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stato redatto il PAC</w:t>
            </w:r>
            <w:r w:rsidR="00C612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Piano Ambientale di Cantierizzazione</w:t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, ove previsto dalle normative regionali o nazionali?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1B64EC2E" w14:textId="1C469B4D" w:rsidR="00812C21" w:rsidRPr="003D53CC" w:rsidRDefault="00B26B6F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09C550BF" w14:textId="7F26C433" w:rsidR="00812C21" w:rsidRPr="0021212F" w:rsidRDefault="00385B90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5B90"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812C21" w:rsidRPr="0021212F" w14:paraId="5AFAC4D1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238687E4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B17F3CA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0F094E7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Sussistono i requisiti per caratterizzazione del sito ed è stata eventualmente pianificata o realizzata la stessa?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8D39F6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F55641" w14:textId="7D486C43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5057E48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615D7185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8D8F539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164479DB" w14:textId="781F922B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</w:t>
            </w:r>
            <w:proofErr w:type="gram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confermato che la localizzazione dell’opera non sia all’interno delle aree indicate nella relativa scheda tecnica</w:t>
            </w:r>
            <w:r w:rsidR="00C61270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8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037A7C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C7EBC2B" w14:textId="0B79395D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620E7DCF" w14:textId="77777777" w:rsidTr="003D53CC">
        <w:trPr>
          <w:trHeight w:val="1251"/>
        </w:trPr>
        <w:tc>
          <w:tcPr>
            <w:tcW w:w="1341" w:type="dxa"/>
            <w:vMerge/>
            <w:vAlign w:val="center"/>
            <w:hideMark/>
          </w:tcPr>
          <w:p w14:paraId="6ECA86FD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AA99B6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7BBDC98" w14:textId="3C4D2726" w:rsidR="00812C21" w:rsidRPr="0021212F" w:rsidRDefault="00812C21" w:rsidP="007B5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Per gli interventi situati in aree sensibili</w:t>
            </w:r>
            <w:r w:rsidR="00D73024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9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sotto il profilo della biodiversità o in prossimità di esse, fermo restando le aree di divieto, è stata verificata la sussistenza di sensibilità territoriali, in particolare tramite una verifica preliminare, mediante censimento </w:t>
            </w:r>
            <w:proofErr w:type="spellStart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floro</w:t>
            </w:r>
            <w:proofErr w:type="spellEnd"/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-faunistico, dell’assenza di habitat di specie (flora e fauna) in pericolo elencate nella lista rossa europea o nella lista rossa dell'IUCN</w:t>
            </w:r>
            <w:r w:rsidR="00A82FA3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10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0A77B4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9F0EFB" w14:textId="449A4D2C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2C3B85D" w14:textId="77777777" w:rsidTr="003D53CC">
        <w:trPr>
          <w:trHeight w:val="1251"/>
        </w:trPr>
        <w:tc>
          <w:tcPr>
            <w:tcW w:w="1341" w:type="dxa"/>
            <w:vMerge/>
            <w:vAlign w:val="center"/>
            <w:hideMark/>
          </w:tcPr>
          <w:p w14:paraId="60FD6B1A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502BCC7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511138F" w14:textId="1A8E3D14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Per aree naturali protette (quali ad esempio parchi nazionali, parchi interregionali, parchi regionali, aree marine protette etc.…), è stato rilasciato il nulla osta degli enti competenti?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2812C3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64BD6C" w14:textId="6E8F6726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98E97CF" w14:textId="77777777" w:rsidTr="003D53CC">
        <w:trPr>
          <w:trHeight w:val="879"/>
        </w:trPr>
        <w:tc>
          <w:tcPr>
            <w:tcW w:w="1341" w:type="dxa"/>
            <w:vMerge/>
            <w:vAlign w:val="center"/>
            <w:hideMark/>
          </w:tcPr>
          <w:p w14:paraId="5984C9B6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63B23C2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5D79EBF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Laddove sia ipotizzabile un’incidenza diretta o indiretta sui siti della Rete Natura 2000 l’intervento è stato sottoposto a Valutazione di Incidenza (DPR 357/97)?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F1D3FD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5E5923" w14:textId="0E7518AA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bookmarkEnd w:id="6"/>
    </w:tbl>
    <w:p w14:paraId="3EFCCAC3" w14:textId="77777777" w:rsidR="0021212F" w:rsidRDefault="0021212F" w:rsidP="7F27F451">
      <w:pPr>
        <w:spacing w:line="240" w:lineRule="auto"/>
        <w:jc w:val="both"/>
      </w:pPr>
    </w:p>
    <w:sectPr w:rsidR="0021212F" w:rsidSect="00F0207F">
      <w:headerReference w:type="default" r:id="rId11"/>
      <w:footerReference w:type="default" r:id="rId12"/>
      <w:pgSz w:w="16838" w:h="11906" w:orient="landscape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367D" w14:textId="77777777" w:rsidR="00F0207F" w:rsidRDefault="00F0207F">
      <w:pPr>
        <w:spacing w:after="0" w:line="240" w:lineRule="auto"/>
      </w:pPr>
      <w:r>
        <w:separator/>
      </w:r>
    </w:p>
  </w:endnote>
  <w:endnote w:type="continuationSeparator" w:id="0">
    <w:p w14:paraId="79D1939D" w14:textId="77777777" w:rsidR="00F0207F" w:rsidRDefault="00F0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3A59" w14:textId="70F138F4" w:rsidR="00210002" w:rsidRDefault="00F548F5" w:rsidP="00F548F5">
    <w:pPr>
      <w:pStyle w:val="Pidipagina"/>
      <w:jc w:val="center"/>
    </w:pPr>
    <w:r w:rsidRPr="00C1284D">
      <w:rPr>
        <w:rFonts w:ascii="Futura Lt BT" w:hAnsi="Futura Lt BT"/>
        <w:color w:val="000000"/>
        <w:sz w:val="15"/>
        <w:szCs w:val="15"/>
        <w:lang w:val="en-US"/>
      </w:rPr>
      <w:t xml:space="preserve">Pag </w: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begin"/>
    </w:r>
    <w:r w:rsidRPr="00C1284D">
      <w:rPr>
        <w:rFonts w:ascii="Futura Lt BT" w:hAnsi="Futura Lt BT"/>
        <w:color w:val="000000"/>
        <w:sz w:val="15"/>
        <w:szCs w:val="15"/>
        <w:lang w:val="en-US"/>
      </w:rPr>
      <w:instrText xml:space="preserve"> PAGE   \* MERGEFORMAT </w:instrTex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separate"/>
    </w:r>
    <w:r w:rsidR="00B55E16">
      <w:rPr>
        <w:rFonts w:ascii="Futura Lt BT" w:hAnsi="Futura Lt BT"/>
        <w:noProof/>
        <w:color w:val="000000"/>
        <w:sz w:val="15"/>
        <w:szCs w:val="15"/>
        <w:lang w:val="en-US"/>
      </w:rPr>
      <w:t>4</w:t>
    </w:r>
    <w:r w:rsidRPr="00C1284D">
      <w:rPr>
        <w:rFonts w:ascii="Futura Lt BT" w:hAnsi="Futura Lt BT"/>
        <w:noProof/>
        <w:color w:val="000000"/>
        <w:sz w:val="15"/>
        <w:szCs w:val="15"/>
        <w:lang w:val="en-US"/>
      </w:rPr>
      <w:fldChar w:fldCharType="end"/>
    </w:r>
    <w:r>
      <w:rPr>
        <w:rFonts w:ascii="Futura Lt BT" w:hAnsi="Futura Lt BT"/>
        <w:noProof/>
        <w:color w:val="000000"/>
        <w:sz w:val="15"/>
        <w:szCs w:val="15"/>
        <w:lang w:val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AF12" w14:textId="77777777" w:rsidR="00F0207F" w:rsidRDefault="00F0207F">
      <w:pPr>
        <w:spacing w:after="0" w:line="240" w:lineRule="auto"/>
      </w:pPr>
      <w:r>
        <w:separator/>
      </w:r>
    </w:p>
  </w:footnote>
  <w:footnote w:type="continuationSeparator" w:id="0">
    <w:p w14:paraId="78A57CDB" w14:textId="77777777" w:rsidR="00F0207F" w:rsidRDefault="00F0207F">
      <w:pPr>
        <w:spacing w:after="0" w:line="240" w:lineRule="auto"/>
      </w:pPr>
      <w:r>
        <w:continuationSeparator/>
      </w:r>
    </w:p>
  </w:footnote>
  <w:footnote w:id="1">
    <w:p w14:paraId="480976A9" w14:textId="2E4A6ED7" w:rsidR="00C20004" w:rsidRDefault="00C20004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 w:rsidR="00783EE7">
        <w:t>ì</w:t>
      </w:r>
      <w:r>
        <w:t>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Se la verifica è applicabile all’intervento ma, in fase ex ante, non è ancora stata effettuata, scrivere “No”, specificando le tempistiche entro cui sarà compiuta nella colonna “Commenti</w:t>
      </w:r>
      <w:r w:rsidR="00ED4E68">
        <w:t>”</w:t>
      </w:r>
      <w:r w:rsidR="00ED4E68" w:rsidRPr="00BE7F75">
        <w:t>.</w:t>
      </w:r>
      <w:r>
        <w:t xml:space="preserve"> Per ulteriori chiarimenti sulla compilazione delle check list DNSH si rinvia alla relativa FAQ pubblicata al seguente link</w:t>
      </w:r>
      <w:r w:rsidR="007C4843">
        <w:t xml:space="preserve"> i</w:t>
      </w:r>
      <w:r w:rsidR="00ED4E68" w:rsidRPr="003D53CC">
        <w:t>taliadomani.gov.it</w:t>
      </w:r>
      <w:r>
        <w:t>.</w:t>
      </w:r>
    </w:p>
  </w:footnote>
  <w:footnote w:id="2">
    <w:p w14:paraId="0D08FFB7" w14:textId="7049F8EB" w:rsidR="00B55E16" w:rsidRDefault="00B55E16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61270">
        <w:t>Guida operativa per il rispetto del principio di non arrecare danno significativo all’ambiente</w:t>
      </w:r>
      <w:r w:rsidR="00783EE7">
        <w:t xml:space="preserve"> </w:t>
      </w:r>
      <w:bookmarkStart w:id="2" w:name="_Hlk160718755"/>
      <w:bookmarkStart w:id="3" w:name="_Hlk160712494"/>
      <w:r w:rsidR="00783EE7">
        <w:t>(</w:t>
      </w:r>
      <w:r w:rsidR="001F5DF9">
        <w:t xml:space="preserve">Guida Operativa </w:t>
      </w:r>
      <w:r w:rsidR="00783EE7">
        <w:t>DNSH) scaricabile sul sito gse.it e su italiadomani.gov.it</w:t>
      </w:r>
      <w:bookmarkEnd w:id="2"/>
      <w:r w:rsidR="007C4843">
        <w:t>.</w:t>
      </w:r>
    </w:p>
    <w:bookmarkEnd w:id="3"/>
  </w:footnote>
  <w:footnote w:id="3">
    <w:p w14:paraId="52A1BB33" w14:textId="77777777" w:rsidR="00E15CDF" w:rsidRDefault="00E15CDF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aree sensibili sotto il profilo della biodiversità si intendono parchi e riserve naturali, siti della rete Natura 2000, corridoi ecologici, altre aree tutelate dal punto di vista naturalistico, oltre ai beni naturali e paesaggistici del Patrimonio Mondiale dell'UNESCO e altre aree protette.</w:t>
      </w:r>
    </w:p>
  </w:footnote>
  <w:footnote w:id="4">
    <w:p w14:paraId="6714D651" w14:textId="5B41E6E4" w:rsidR="00E15CDF" w:rsidRDefault="00E15CDF" w:rsidP="00E15C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82FA3">
        <w:t>Unione internazionale per la conservazione della natura</w:t>
      </w:r>
      <w:r w:rsidR="007C4843">
        <w:t>.</w:t>
      </w:r>
    </w:p>
    <w:p w14:paraId="61DA076E" w14:textId="00F521D9" w:rsidR="00102098" w:rsidRDefault="00102098" w:rsidP="00E15CDF">
      <w:pPr>
        <w:pStyle w:val="Testonotaapidipagina"/>
      </w:pPr>
      <w:r>
        <w:t>*Requisito obbligatorio per il rispetto dei principi DNSH in accordo alla SCHEDA 12 della Guida Operativa DNSH.</w:t>
      </w:r>
    </w:p>
  </w:footnote>
  <w:footnote w:id="5">
    <w:p w14:paraId="344902DF" w14:textId="2C597AE3" w:rsidR="00CC2EB9" w:rsidRDefault="00CC2EB9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Per campo base si intende un’area</w:t>
      </w:r>
      <w:r w:rsidRPr="003B4779">
        <w:t xml:space="preserve"> </w:t>
      </w:r>
      <w:r>
        <w:t>di cantiere in cui sono ospitate</w:t>
      </w:r>
      <w:r w:rsidRPr="00263410">
        <w:t xml:space="preserve"> strutture con funzioni direttive, tecniche, operative, logistiche </w:t>
      </w:r>
      <w:r>
        <w:t xml:space="preserve">(magazzini), di </w:t>
      </w:r>
      <w:r w:rsidRPr="003B4779">
        <w:t xml:space="preserve">gestione del personale, </w:t>
      </w:r>
      <w:r w:rsidRPr="00263410">
        <w:t>nonché destinat</w:t>
      </w:r>
      <w:r w:rsidR="00793A6B">
        <w:t xml:space="preserve">e </w:t>
      </w:r>
      <w:r w:rsidRPr="00263410">
        <w:t>al riposo</w:t>
      </w:r>
      <w:r>
        <w:t xml:space="preserve"> e </w:t>
      </w:r>
      <w:r w:rsidRPr="00263410">
        <w:t>ristorazione</w:t>
      </w:r>
      <w:r w:rsidRPr="003B4779">
        <w:t>.</w:t>
      </w:r>
      <w:r w:rsidR="00793A6B">
        <w:t xml:space="preserve"> </w:t>
      </w:r>
    </w:p>
  </w:footnote>
  <w:footnote w:id="6">
    <w:p w14:paraId="68E622C3" w14:textId="534FA115" w:rsidR="0036081F" w:rsidRDefault="0036081F" w:rsidP="003D53CC">
      <w:pPr>
        <w:pStyle w:val="Testonotaapidipagina"/>
        <w:tabs>
          <w:tab w:val="left" w:pos="14601"/>
        </w:tabs>
        <w:ind w:right="89"/>
        <w:jc w:val="both"/>
      </w:pPr>
      <w:r>
        <w:rPr>
          <w:rStyle w:val="Rimandonotaapidipagina"/>
        </w:rPr>
        <w:footnoteRef/>
      </w:r>
      <w:r>
        <w:t xml:space="preserve"> La Scheda 5 si applica agli interventi che prevedono l’apertura di un Campo Base connesso ad un cantiere temporaneo o mobile, in cui si effettuano lavori edili o di ingegneria civile, come elencati nell’Allegato X - Elenco dei lavori edili o di ingegneria civile di cui all’articolo 89, comma 1, lettera a) al Titolo IV del d.lgs. 81/08 e </w:t>
      </w:r>
      <w:proofErr w:type="spellStart"/>
      <w:r>
        <w:t>ss.m.i</w:t>
      </w:r>
      <w:proofErr w:type="spellEnd"/>
      <w:r>
        <w:t>. Per grandi dimensioni si intendono cantieri afferenti a reti idriche, elettriche, fognarie, building sopra i 5000 m</w:t>
      </w:r>
      <w:r w:rsidR="0010783F">
        <w:rPr>
          <w:vertAlign w:val="superscript"/>
        </w:rPr>
        <w:t>2</w:t>
      </w:r>
      <w:r w:rsidR="0010783F">
        <w:t>,</w:t>
      </w:r>
      <w:r>
        <w:t xml:space="preserve"> etc.</w:t>
      </w:r>
    </w:p>
  </w:footnote>
  <w:footnote w:id="7">
    <w:p w14:paraId="21C35E92" w14:textId="16F2D790" w:rsidR="00096379" w:rsidRDefault="00096379" w:rsidP="003D53CC">
      <w:pPr>
        <w:pStyle w:val="Testonotaapidipagina"/>
        <w:tabs>
          <w:tab w:val="left" w:pos="14601"/>
        </w:tabs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>
        <w:t>ì”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Se la verifica è applicabile all’intervento ma, in fase ex ante, non è ancora stata effettuata, scrivere “No”, specificando le tempistiche entro cui sarà compiuta nella colonna “Commenti</w:t>
      </w:r>
      <w:r w:rsidR="00235752">
        <w:t>”</w:t>
      </w:r>
      <w:r w:rsidR="00235752" w:rsidRPr="00BE7F75">
        <w:t>.</w:t>
      </w:r>
      <w:r>
        <w:t xml:space="preserve"> Per ulteriori chiarimenti sulla compilazione delle check list DNSH si rinvia alla relativa FAQ pubblicata al seguente link</w:t>
      </w:r>
      <w:r w:rsidR="00E02EC7">
        <w:t xml:space="preserve"> </w:t>
      </w:r>
      <w:r w:rsidR="00241291" w:rsidRPr="003D53CC">
        <w:t>italiadomani.gov.it</w:t>
      </w:r>
      <w:r>
        <w:t>.</w:t>
      </w:r>
    </w:p>
  </w:footnote>
  <w:footnote w:id="8">
    <w:p w14:paraId="6E37809E" w14:textId="1263957C" w:rsidR="00C61270" w:rsidRDefault="00C61270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="00D73024">
        <w:t xml:space="preserve">Verificare che la localizzazione dell’opera non sia all’interno delle aree indicate nella </w:t>
      </w:r>
      <w:r w:rsidR="00A82FA3">
        <w:t>S</w:t>
      </w:r>
      <w:r>
        <w:t xml:space="preserve">cheda tecnica </w:t>
      </w:r>
      <w:r w:rsidR="00D73024">
        <w:t xml:space="preserve">n. 5 </w:t>
      </w:r>
      <w:r>
        <w:t xml:space="preserve">allegata alla Guida Operativa </w:t>
      </w:r>
      <w:r w:rsidR="00086FF3" w:rsidRPr="00C61270">
        <w:t>per il rispetto del principio di non arrecare danno significativo all’ambiente</w:t>
      </w:r>
      <w:r w:rsidR="00D73024">
        <w:t>, sezione D, paragrafo “Protezione e ripristino della biodiversità e degli Ecosistemi”</w:t>
      </w:r>
      <w:r w:rsidR="00ED4E68" w:rsidRPr="00ED4E68">
        <w:t xml:space="preserve"> </w:t>
      </w:r>
      <w:r w:rsidR="00ED4E68">
        <w:t>(Guida Operativa DNSH) scaricabile sul sito gse.it e su italiadomani.gov.it</w:t>
      </w:r>
      <w:r w:rsidR="00676413">
        <w:t>.</w:t>
      </w:r>
    </w:p>
  </w:footnote>
  <w:footnote w:id="9">
    <w:p w14:paraId="76E3BC2F" w14:textId="1D87BDBA" w:rsidR="00D73024" w:rsidRDefault="00D73024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Per aree sensibili sotto il profilo della biodiversità si intendono parchi e riserve naturali, siti della rete Natura 2000, corridoi ecologici, altre aree tutelate dal punto di vista naturalistico, oltre ai beni naturali e paesaggistici del Patrimonio Mondiale dell'UNESCO e altre aree protette.</w:t>
      </w:r>
    </w:p>
  </w:footnote>
  <w:footnote w:id="10">
    <w:p w14:paraId="740E7395" w14:textId="0F08AC7D" w:rsidR="00A82FA3" w:rsidRDefault="00A82FA3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Pr="00A82FA3">
        <w:t>Unione internazionale per la conservazione della natura</w:t>
      </w:r>
      <w:r w:rsidR="0070339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1AB8" w14:textId="4FD6FBCA" w:rsidR="00843D60" w:rsidRDefault="00843D60">
    <w:pPr>
      <w:pStyle w:val="Intestazione"/>
    </w:pPr>
    <w:r w:rsidRPr="00843D60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631A5F08" wp14:editId="6ED9FEAC">
          <wp:simplePos x="0" y="0"/>
          <wp:positionH relativeFrom="column">
            <wp:posOffset>3339514</wp:posOffset>
          </wp:positionH>
          <wp:positionV relativeFrom="paragraph">
            <wp:posOffset>11430</wp:posOffset>
          </wp:positionV>
          <wp:extent cx="2642733" cy="407366"/>
          <wp:effectExtent l="0" t="0" r="5715" b="0"/>
          <wp:wrapNone/>
          <wp:docPr id="1530292994" name="Immagine 1530292994" descr="C:\Users\a853965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853965\Download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733" cy="4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D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DAFA663" wp14:editId="468EF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0110" cy="478790"/>
          <wp:effectExtent l="0" t="0" r="2540" b="0"/>
          <wp:wrapNone/>
          <wp:docPr id="1480561932" name="Immagine 1480561932" descr="C:\Users\a853965\Downloads\nextgenerationeu_it\IT Finanziato dall'Unione europea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853965\Downloads\nextgenerationeu_it\IT Finanziato dall'Unione europea_PANTO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sdt>
      <w:sdtPr>
        <w:id w:val="968859947"/>
        <w:placeholder>
          <w:docPart w:val="D382B1A12E364D899CBA0D8A4C876143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r w:rsidRPr="006E4457">
      <w:rPr>
        <w:noProof/>
        <w:sz w:val="16"/>
        <w:lang w:eastAsia="it-IT"/>
      </w:rPr>
      <w:drawing>
        <wp:inline distT="0" distB="0" distL="0" distR="0" wp14:anchorId="12F872BF" wp14:editId="6056BA03">
          <wp:extent cx="821025" cy="374167"/>
          <wp:effectExtent l="0" t="0" r="0" b="6985"/>
          <wp:docPr id="670786573" name="Immagine 670786573" descr="Logo GS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SE nuo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21" cy="3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CA7F" w14:textId="77777777" w:rsidR="00BE0951" w:rsidRDefault="00BE0951" w:rsidP="002634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ADDB"/>
    <w:multiLevelType w:val="hybridMultilevel"/>
    <w:tmpl w:val="318296D0"/>
    <w:lvl w:ilvl="0" w:tplc="460C86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F2A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F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3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B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B01"/>
    <w:multiLevelType w:val="hybridMultilevel"/>
    <w:tmpl w:val="4EF8E7D0"/>
    <w:lvl w:ilvl="0" w:tplc="CDB07B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F044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8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631"/>
    <w:multiLevelType w:val="hybridMultilevel"/>
    <w:tmpl w:val="BEA08FEC"/>
    <w:lvl w:ilvl="0" w:tplc="DC24F3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F4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EDC8"/>
    <w:multiLevelType w:val="hybridMultilevel"/>
    <w:tmpl w:val="7B4C8ADE"/>
    <w:lvl w:ilvl="0" w:tplc="FC448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C0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5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DEC6"/>
    <w:multiLevelType w:val="hybridMultilevel"/>
    <w:tmpl w:val="7146206C"/>
    <w:lvl w:ilvl="0" w:tplc="3DE03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50C2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5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20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0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0A8D"/>
    <w:multiLevelType w:val="hybridMultilevel"/>
    <w:tmpl w:val="972C15BE"/>
    <w:lvl w:ilvl="0" w:tplc="9AF88E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EE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8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2A0D"/>
    <w:multiLevelType w:val="hybridMultilevel"/>
    <w:tmpl w:val="A72CC34E"/>
    <w:lvl w:ilvl="0" w:tplc="15CA3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80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A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4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BF6A"/>
    <w:multiLevelType w:val="hybridMultilevel"/>
    <w:tmpl w:val="E77AC686"/>
    <w:lvl w:ilvl="0" w:tplc="BC8861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1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0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0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E3AA"/>
    <w:multiLevelType w:val="hybridMultilevel"/>
    <w:tmpl w:val="F434232A"/>
    <w:lvl w:ilvl="0" w:tplc="6F381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B2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6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1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9C62"/>
    <w:multiLevelType w:val="hybridMultilevel"/>
    <w:tmpl w:val="921A6314"/>
    <w:lvl w:ilvl="0" w:tplc="4EBAB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6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E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A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F1A5"/>
    <w:multiLevelType w:val="hybridMultilevel"/>
    <w:tmpl w:val="DC483616"/>
    <w:lvl w:ilvl="0" w:tplc="3D3E03DE">
      <w:start w:val="1"/>
      <w:numFmt w:val="lowerRoman"/>
      <w:lvlText w:val="%1."/>
      <w:lvlJc w:val="left"/>
      <w:pPr>
        <w:ind w:left="720" w:hanging="360"/>
      </w:pPr>
    </w:lvl>
    <w:lvl w:ilvl="1" w:tplc="D658A83C">
      <w:start w:val="1"/>
      <w:numFmt w:val="lowerLetter"/>
      <w:lvlText w:val="%2."/>
      <w:lvlJc w:val="left"/>
      <w:pPr>
        <w:ind w:left="1440" w:hanging="360"/>
      </w:pPr>
    </w:lvl>
    <w:lvl w:ilvl="2" w:tplc="942E4C76">
      <w:start w:val="1"/>
      <w:numFmt w:val="lowerRoman"/>
      <w:lvlText w:val="%3."/>
      <w:lvlJc w:val="right"/>
      <w:pPr>
        <w:ind w:left="2160" w:hanging="180"/>
      </w:pPr>
    </w:lvl>
    <w:lvl w:ilvl="3" w:tplc="9F96D004">
      <w:start w:val="1"/>
      <w:numFmt w:val="decimal"/>
      <w:lvlText w:val="%4."/>
      <w:lvlJc w:val="left"/>
      <w:pPr>
        <w:ind w:left="2880" w:hanging="360"/>
      </w:pPr>
    </w:lvl>
    <w:lvl w:ilvl="4" w:tplc="B48E58AE">
      <w:start w:val="1"/>
      <w:numFmt w:val="lowerLetter"/>
      <w:lvlText w:val="%5."/>
      <w:lvlJc w:val="left"/>
      <w:pPr>
        <w:ind w:left="3600" w:hanging="360"/>
      </w:pPr>
    </w:lvl>
    <w:lvl w:ilvl="5" w:tplc="6FE06B76">
      <w:start w:val="1"/>
      <w:numFmt w:val="lowerRoman"/>
      <w:lvlText w:val="%6."/>
      <w:lvlJc w:val="right"/>
      <w:pPr>
        <w:ind w:left="4320" w:hanging="180"/>
      </w:pPr>
    </w:lvl>
    <w:lvl w:ilvl="6" w:tplc="190A104A">
      <w:start w:val="1"/>
      <w:numFmt w:val="decimal"/>
      <w:lvlText w:val="%7."/>
      <w:lvlJc w:val="left"/>
      <w:pPr>
        <w:ind w:left="5040" w:hanging="360"/>
      </w:pPr>
    </w:lvl>
    <w:lvl w:ilvl="7" w:tplc="518CC5C8">
      <w:start w:val="1"/>
      <w:numFmt w:val="lowerLetter"/>
      <w:lvlText w:val="%8."/>
      <w:lvlJc w:val="left"/>
      <w:pPr>
        <w:ind w:left="5760" w:hanging="360"/>
      </w:pPr>
    </w:lvl>
    <w:lvl w:ilvl="8" w:tplc="0A3635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EC243"/>
    <w:multiLevelType w:val="hybridMultilevel"/>
    <w:tmpl w:val="54722720"/>
    <w:lvl w:ilvl="0" w:tplc="51606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EA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8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5F50"/>
    <w:multiLevelType w:val="hybridMultilevel"/>
    <w:tmpl w:val="4FF4C3A4"/>
    <w:lvl w:ilvl="0" w:tplc="ED8A626E">
      <w:start w:val="1"/>
      <w:numFmt w:val="lowerLetter"/>
      <w:lvlText w:val="%1."/>
      <w:lvlJc w:val="left"/>
      <w:pPr>
        <w:ind w:left="720" w:hanging="360"/>
      </w:pPr>
    </w:lvl>
    <w:lvl w:ilvl="1" w:tplc="852C630A">
      <w:start w:val="1"/>
      <w:numFmt w:val="lowerLetter"/>
      <w:lvlText w:val="%2."/>
      <w:lvlJc w:val="left"/>
      <w:pPr>
        <w:ind w:left="1440" w:hanging="360"/>
      </w:pPr>
    </w:lvl>
    <w:lvl w:ilvl="2" w:tplc="D79283FC">
      <w:start w:val="1"/>
      <w:numFmt w:val="lowerRoman"/>
      <w:lvlText w:val="%3."/>
      <w:lvlJc w:val="right"/>
      <w:pPr>
        <w:ind w:left="2160" w:hanging="180"/>
      </w:pPr>
    </w:lvl>
    <w:lvl w:ilvl="3" w:tplc="FB3A8E1A">
      <w:start w:val="1"/>
      <w:numFmt w:val="decimal"/>
      <w:lvlText w:val="%4."/>
      <w:lvlJc w:val="left"/>
      <w:pPr>
        <w:ind w:left="2880" w:hanging="360"/>
      </w:pPr>
    </w:lvl>
    <w:lvl w:ilvl="4" w:tplc="F592AE0A">
      <w:start w:val="1"/>
      <w:numFmt w:val="lowerLetter"/>
      <w:lvlText w:val="%5."/>
      <w:lvlJc w:val="left"/>
      <w:pPr>
        <w:ind w:left="3600" w:hanging="360"/>
      </w:pPr>
    </w:lvl>
    <w:lvl w:ilvl="5" w:tplc="5EC62CBC">
      <w:start w:val="1"/>
      <w:numFmt w:val="lowerRoman"/>
      <w:lvlText w:val="%6."/>
      <w:lvlJc w:val="right"/>
      <w:pPr>
        <w:ind w:left="4320" w:hanging="180"/>
      </w:pPr>
    </w:lvl>
    <w:lvl w:ilvl="6" w:tplc="853A6924">
      <w:start w:val="1"/>
      <w:numFmt w:val="decimal"/>
      <w:lvlText w:val="%7."/>
      <w:lvlJc w:val="left"/>
      <w:pPr>
        <w:ind w:left="5040" w:hanging="360"/>
      </w:pPr>
    </w:lvl>
    <w:lvl w:ilvl="7" w:tplc="11D8F086">
      <w:start w:val="1"/>
      <w:numFmt w:val="lowerLetter"/>
      <w:lvlText w:val="%8."/>
      <w:lvlJc w:val="left"/>
      <w:pPr>
        <w:ind w:left="5760" w:hanging="360"/>
      </w:pPr>
    </w:lvl>
    <w:lvl w:ilvl="8" w:tplc="D8F25C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B0DD"/>
    <w:multiLevelType w:val="hybridMultilevel"/>
    <w:tmpl w:val="30D8325A"/>
    <w:lvl w:ilvl="0" w:tplc="0BB8F5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486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24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47BB0"/>
    <w:multiLevelType w:val="hybridMultilevel"/>
    <w:tmpl w:val="56067EB8"/>
    <w:lvl w:ilvl="0" w:tplc="F6968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904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A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2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6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8D90"/>
    <w:multiLevelType w:val="hybridMultilevel"/>
    <w:tmpl w:val="07D850DC"/>
    <w:lvl w:ilvl="0" w:tplc="73FCEE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4304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C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C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8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6025"/>
    <w:multiLevelType w:val="hybridMultilevel"/>
    <w:tmpl w:val="A2D2D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E6C23"/>
    <w:multiLevelType w:val="hybridMultilevel"/>
    <w:tmpl w:val="5540D8F4"/>
    <w:lvl w:ilvl="0" w:tplc="97925C8E">
      <w:start w:val="1"/>
      <w:numFmt w:val="lowerLetter"/>
      <w:lvlText w:val="%1."/>
      <w:lvlJc w:val="left"/>
      <w:pPr>
        <w:ind w:left="720" w:hanging="360"/>
      </w:pPr>
    </w:lvl>
    <w:lvl w:ilvl="1" w:tplc="08921CBE">
      <w:start w:val="1"/>
      <w:numFmt w:val="lowerLetter"/>
      <w:lvlText w:val="%2."/>
      <w:lvlJc w:val="left"/>
      <w:pPr>
        <w:ind w:left="1440" w:hanging="360"/>
      </w:pPr>
    </w:lvl>
    <w:lvl w:ilvl="2" w:tplc="24F63368">
      <w:start w:val="1"/>
      <w:numFmt w:val="lowerRoman"/>
      <w:lvlText w:val="%3."/>
      <w:lvlJc w:val="right"/>
      <w:pPr>
        <w:ind w:left="2160" w:hanging="180"/>
      </w:pPr>
    </w:lvl>
    <w:lvl w:ilvl="3" w:tplc="7FF4389C">
      <w:start w:val="1"/>
      <w:numFmt w:val="decimal"/>
      <w:lvlText w:val="%4."/>
      <w:lvlJc w:val="left"/>
      <w:pPr>
        <w:ind w:left="2880" w:hanging="360"/>
      </w:pPr>
    </w:lvl>
    <w:lvl w:ilvl="4" w:tplc="3766A4D6">
      <w:start w:val="1"/>
      <w:numFmt w:val="lowerLetter"/>
      <w:lvlText w:val="%5."/>
      <w:lvlJc w:val="left"/>
      <w:pPr>
        <w:ind w:left="3600" w:hanging="360"/>
      </w:pPr>
    </w:lvl>
    <w:lvl w:ilvl="5" w:tplc="22D460E6">
      <w:start w:val="1"/>
      <w:numFmt w:val="lowerRoman"/>
      <w:lvlText w:val="%6."/>
      <w:lvlJc w:val="right"/>
      <w:pPr>
        <w:ind w:left="4320" w:hanging="180"/>
      </w:pPr>
    </w:lvl>
    <w:lvl w:ilvl="6" w:tplc="CD469674">
      <w:start w:val="1"/>
      <w:numFmt w:val="decimal"/>
      <w:lvlText w:val="%7."/>
      <w:lvlJc w:val="left"/>
      <w:pPr>
        <w:ind w:left="5040" w:hanging="360"/>
      </w:pPr>
    </w:lvl>
    <w:lvl w:ilvl="7" w:tplc="68BA012E">
      <w:start w:val="1"/>
      <w:numFmt w:val="lowerLetter"/>
      <w:lvlText w:val="%8."/>
      <w:lvlJc w:val="left"/>
      <w:pPr>
        <w:ind w:left="5760" w:hanging="360"/>
      </w:pPr>
    </w:lvl>
    <w:lvl w:ilvl="8" w:tplc="81D2EA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EA92"/>
    <w:multiLevelType w:val="hybridMultilevel"/>
    <w:tmpl w:val="07FCC60E"/>
    <w:lvl w:ilvl="0" w:tplc="78C0C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D2C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E9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01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604D1"/>
    <w:multiLevelType w:val="hybridMultilevel"/>
    <w:tmpl w:val="829E878A"/>
    <w:lvl w:ilvl="0" w:tplc="23A0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A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6A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6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4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8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DA33"/>
    <w:multiLevelType w:val="hybridMultilevel"/>
    <w:tmpl w:val="E250A89C"/>
    <w:lvl w:ilvl="0" w:tplc="06F08A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4C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6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0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4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5"/>
  </w:num>
  <w:num w:numId="11">
    <w:abstractNumId w:val="2"/>
  </w:num>
  <w:num w:numId="12">
    <w:abstractNumId w:val="17"/>
  </w:num>
  <w:num w:numId="13">
    <w:abstractNumId w:val="5"/>
  </w:num>
  <w:num w:numId="14">
    <w:abstractNumId w:val="1"/>
  </w:num>
  <w:num w:numId="15">
    <w:abstractNumId w:val="20"/>
  </w:num>
  <w:num w:numId="16">
    <w:abstractNumId w:val="13"/>
  </w:num>
  <w:num w:numId="17">
    <w:abstractNumId w:val="3"/>
  </w:num>
  <w:num w:numId="18">
    <w:abstractNumId w:val="11"/>
  </w:num>
  <w:num w:numId="19">
    <w:abstractNumId w:val="18"/>
  </w:num>
  <w:num w:numId="20">
    <w:abstractNumId w:val="7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04B60"/>
    <w:rsid w:val="000104FD"/>
    <w:rsid w:val="00010A28"/>
    <w:rsid w:val="00014EFC"/>
    <w:rsid w:val="0002368B"/>
    <w:rsid w:val="0003249A"/>
    <w:rsid w:val="00042436"/>
    <w:rsid w:val="0004630F"/>
    <w:rsid w:val="00063FDB"/>
    <w:rsid w:val="00072B6B"/>
    <w:rsid w:val="0007539E"/>
    <w:rsid w:val="00086FF3"/>
    <w:rsid w:val="00087FFA"/>
    <w:rsid w:val="00091C95"/>
    <w:rsid w:val="00096379"/>
    <w:rsid w:val="000C7932"/>
    <w:rsid w:val="000D494F"/>
    <w:rsid w:val="000E4713"/>
    <w:rsid w:val="000E596E"/>
    <w:rsid w:val="0010030D"/>
    <w:rsid w:val="00102098"/>
    <w:rsid w:val="0010679D"/>
    <w:rsid w:val="0010783F"/>
    <w:rsid w:val="00116845"/>
    <w:rsid w:val="00125655"/>
    <w:rsid w:val="00131950"/>
    <w:rsid w:val="001448A8"/>
    <w:rsid w:val="00147FC3"/>
    <w:rsid w:val="00156FA3"/>
    <w:rsid w:val="0018191E"/>
    <w:rsid w:val="00185EB5"/>
    <w:rsid w:val="001B1334"/>
    <w:rsid w:val="001D4F92"/>
    <w:rsid w:val="001F5DF9"/>
    <w:rsid w:val="0020483A"/>
    <w:rsid w:val="00210002"/>
    <w:rsid w:val="0021212F"/>
    <w:rsid w:val="00213AAA"/>
    <w:rsid w:val="00215E8F"/>
    <w:rsid w:val="00235752"/>
    <w:rsid w:val="00236085"/>
    <w:rsid w:val="00240BB1"/>
    <w:rsid w:val="00241291"/>
    <w:rsid w:val="00242A3C"/>
    <w:rsid w:val="002553D4"/>
    <w:rsid w:val="00260AE1"/>
    <w:rsid w:val="00263410"/>
    <w:rsid w:val="002651C9"/>
    <w:rsid w:val="002B5782"/>
    <w:rsid w:val="002C1AEB"/>
    <w:rsid w:val="002C3EBB"/>
    <w:rsid w:val="00303562"/>
    <w:rsid w:val="0031295D"/>
    <w:rsid w:val="003256F9"/>
    <w:rsid w:val="00343CB1"/>
    <w:rsid w:val="00344D4C"/>
    <w:rsid w:val="003602C2"/>
    <w:rsid w:val="0036081F"/>
    <w:rsid w:val="003815C4"/>
    <w:rsid w:val="00385B90"/>
    <w:rsid w:val="003950C5"/>
    <w:rsid w:val="003B4779"/>
    <w:rsid w:val="003D53CC"/>
    <w:rsid w:val="00427BD9"/>
    <w:rsid w:val="0044689C"/>
    <w:rsid w:val="0044712B"/>
    <w:rsid w:val="00455069"/>
    <w:rsid w:val="00463030"/>
    <w:rsid w:val="00471604"/>
    <w:rsid w:val="00471AA5"/>
    <w:rsid w:val="004753C3"/>
    <w:rsid w:val="00476D04"/>
    <w:rsid w:val="00476EA6"/>
    <w:rsid w:val="00484DFD"/>
    <w:rsid w:val="004A6FC3"/>
    <w:rsid w:val="004D5DF9"/>
    <w:rsid w:val="004E1D8A"/>
    <w:rsid w:val="004F2B7B"/>
    <w:rsid w:val="004F481A"/>
    <w:rsid w:val="005045C1"/>
    <w:rsid w:val="00507B32"/>
    <w:rsid w:val="005108D2"/>
    <w:rsid w:val="00545A44"/>
    <w:rsid w:val="00556669"/>
    <w:rsid w:val="00560983"/>
    <w:rsid w:val="00570526"/>
    <w:rsid w:val="0058AD2C"/>
    <w:rsid w:val="0059411C"/>
    <w:rsid w:val="005955C3"/>
    <w:rsid w:val="005B6AB8"/>
    <w:rsid w:val="005D54F1"/>
    <w:rsid w:val="005D5F84"/>
    <w:rsid w:val="005F0738"/>
    <w:rsid w:val="006009FB"/>
    <w:rsid w:val="006024BC"/>
    <w:rsid w:val="006330FD"/>
    <w:rsid w:val="0064374F"/>
    <w:rsid w:val="00643F89"/>
    <w:rsid w:val="006520E7"/>
    <w:rsid w:val="006531B0"/>
    <w:rsid w:val="00656BB1"/>
    <w:rsid w:val="0066181A"/>
    <w:rsid w:val="0067021C"/>
    <w:rsid w:val="00674F3D"/>
    <w:rsid w:val="00676413"/>
    <w:rsid w:val="00676C20"/>
    <w:rsid w:val="00676C24"/>
    <w:rsid w:val="006A1231"/>
    <w:rsid w:val="006A6B3D"/>
    <w:rsid w:val="006C1DC7"/>
    <w:rsid w:val="006D5A34"/>
    <w:rsid w:val="006F273E"/>
    <w:rsid w:val="00703394"/>
    <w:rsid w:val="00706019"/>
    <w:rsid w:val="00707600"/>
    <w:rsid w:val="00712AAE"/>
    <w:rsid w:val="00726D01"/>
    <w:rsid w:val="0073622B"/>
    <w:rsid w:val="0075561A"/>
    <w:rsid w:val="0076026D"/>
    <w:rsid w:val="00763801"/>
    <w:rsid w:val="00773F06"/>
    <w:rsid w:val="00783EE7"/>
    <w:rsid w:val="00793A6B"/>
    <w:rsid w:val="007B5442"/>
    <w:rsid w:val="007C4843"/>
    <w:rsid w:val="007D2B7A"/>
    <w:rsid w:val="007F3119"/>
    <w:rsid w:val="007F566E"/>
    <w:rsid w:val="008019A6"/>
    <w:rsid w:val="00802C41"/>
    <w:rsid w:val="00812C21"/>
    <w:rsid w:val="00843D60"/>
    <w:rsid w:val="00850DBA"/>
    <w:rsid w:val="00862D89"/>
    <w:rsid w:val="008740AF"/>
    <w:rsid w:val="00875E17"/>
    <w:rsid w:val="008A49D3"/>
    <w:rsid w:val="008C37E0"/>
    <w:rsid w:val="008D7EE1"/>
    <w:rsid w:val="008E2692"/>
    <w:rsid w:val="00903743"/>
    <w:rsid w:val="00906220"/>
    <w:rsid w:val="0091395C"/>
    <w:rsid w:val="00917EC7"/>
    <w:rsid w:val="0093278F"/>
    <w:rsid w:val="00933314"/>
    <w:rsid w:val="0093433B"/>
    <w:rsid w:val="009746C8"/>
    <w:rsid w:val="00980BB7"/>
    <w:rsid w:val="009A2890"/>
    <w:rsid w:val="009A58CE"/>
    <w:rsid w:val="009B057B"/>
    <w:rsid w:val="009B37A8"/>
    <w:rsid w:val="009C2A19"/>
    <w:rsid w:val="009C3D93"/>
    <w:rsid w:val="009E0DA4"/>
    <w:rsid w:val="009E5E61"/>
    <w:rsid w:val="00A049CE"/>
    <w:rsid w:val="00A1021F"/>
    <w:rsid w:val="00A16C23"/>
    <w:rsid w:val="00A20BAF"/>
    <w:rsid w:val="00A26FC9"/>
    <w:rsid w:val="00A348FD"/>
    <w:rsid w:val="00A42E24"/>
    <w:rsid w:val="00A7409F"/>
    <w:rsid w:val="00A7583D"/>
    <w:rsid w:val="00A82FA3"/>
    <w:rsid w:val="00A978D0"/>
    <w:rsid w:val="00AA5B52"/>
    <w:rsid w:val="00AB03F5"/>
    <w:rsid w:val="00AB5CA8"/>
    <w:rsid w:val="00AE11BD"/>
    <w:rsid w:val="00B26B6F"/>
    <w:rsid w:val="00B55E16"/>
    <w:rsid w:val="00B9646D"/>
    <w:rsid w:val="00BA67FD"/>
    <w:rsid w:val="00BA78AB"/>
    <w:rsid w:val="00BB6657"/>
    <w:rsid w:val="00BC62B3"/>
    <w:rsid w:val="00BE0951"/>
    <w:rsid w:val="00C06274"/>
    <w:rsid w:val="00C06B99"/>
    <w:rsid w:val="00C20004"/>
    <w:rsid w:val="00C238B0"/>
    <w:rsid w:val="00C27E09"/>
    <w:rsid w:val="00C450A6"/>
    <w:rsid w:val="00C456A9"/>
    <w:rsid w:val="00C57664"/>
    <w:rsid w:val="00C60D21"/>
    <w:rsid w:val="00C61270"/>
    <w:rsid w:val="00C64A67"/>
    <w:rsid w:val="00C65F9B"/>
    <w:rsid w:val="00C77288"/>
    <w:rsid w:val="00CA3794"/>
    <w:rsid w:val="00CB24AA"/>
    <w:rsid w:val="00CC0AA3"/>
    <w:rsid w:val="00CC2EB9"/>
    <w:rsid w:val="00CC521C"/>
    <w:rsid w:val="00D02D90"/>
    <w:rsid w:val="00D16256"/>
    <w:rsid w:val="00D22618"/>
    <w:rsid w:val="00D73024"/>
    <w:rsid w:val="00DA1FBE"/>
    <w:rsid w:val="00DA7E3A"/>
    <w:rsid w:val="00DB0895"/>
    <w:rsid w:val="00DB43E2"/>
    <w:rsid w:val="00DB4BA3"/>
    <w:rsid w:val="00DC2CD6"/>
    <w:rsid w:val="00DC7D27"/>
    <w:rsid w:val="00DD54B0"/>
    <w:rsid w:val="00DF4216"/>
    <w:rsid w:val="00DF7781"/>
    <w:rsid w:val="00E02EC7"/>
    <w:rsid w:val="00E03E85"/>
    <w:rsid w:val="00E10E25"/>
    <w:rsid w:val="00E15CDF"/>
    <w:rsid w:val="00E17B3B"/>
    <w:rsid w:val="00E22393"/>
    <w:rsid w:val="00E36D95"/>
    <w:rsid w:val="00E44539"/>
    <w:rsid w:val="00E450FA"/>
    <w:rsid w:val="00E7732D"/>
    <w:rsid w:val="00E8720C"/>
    <w:rsid w:val="00EB4C58"/>
    <w:rsid w:val="00EC1AED"/>
    <w:rsid w:val="00ED2C8A"/>
    <w:rsid w:val="00ED4E68"/>
    <w:rsid w:val="00EE58EB"/>
    <w:rsid w:val="00EF5D03"/>
    <w:rsid w:val="00EF73A9"/>
    <w:rsid w:val="00F0207F"/>
    <w:rsid w:val="00F03478"/>
    <w:rsid w:val="00F077AC"/>
    <w:rsid w:val="00F11F00"/>
    <w:rsid w:val="00F14591"/>
    <w:rsid w:val="00F21717"/>
    <w:rsid w:val="00F40098"/>
    <w:rsid w:val="00F548F5"/>
    <w:rsid w:val="00F73535"/>
    <w:rsid w:val="00F842F4"/>
    <w:rsid w:val="00F9118E"/>
    <w:rsid w:val="00FB0B17"/>
    <w:rsid w:val="00FD0EEB"/>
    <w:rsid w:val="00FD21DD"/>
    <w:rsid w:val="00FD4EB3"/>
    <w:rsid w:val="013C35C3"/>
    <w:rsid w:val="017ABA36"/>
    <w:rsid w:val="01B4C926"/>
    <w:rsid w:val="01D326D7"/>
    <w:rsid w:val="01DB7540"/>
    <w:rsid w:val="01F4C6ED"/>
    <w:rsid w:val="020A7E9E"/>
    <w:rsid w:val="02462741"/>
    <w:rsid w:val="02A47881"/>
    <w:rsid w:val="03B23C20"/>
    <w:rsid w:val="055013D8"/>
    <w:rsid w:val="05C2BF80"/>
    <w:rsid w:val="05CFF878"/>
    <w:rsid w:val="06291662"/>
    <w:rsid w:val="06EBE439"/>
    <w:rsid w:val="070E51DA"/>
    <w:rsid w:val="096B5806"/>
    <w:rsid w:val="0A2D54B1"/>
    <w:rsid w:val="0A8AE800"/>
    <w:rsid w:val="0B55EDDB"/>
    <w:rsid w:val="0BC89AA0"/>
    <w:rsid w:val="0C0F21BE"/>
    <w:rsid w:val="0CA2F8C8"/>
    <w:rsid w:val="0CCF0821"/>
    <w:rsid w:val="0DA76169"/>
    <w:rsid w:val="0E353B63"/>
    <w:rsid w:val="0EBD0061"/>
    <w:rsid w:val="0F4A3D5B"/>
    <w:rsid w:val="102D2CEC"/>
    <w:rsid w:val="10779832"/>
    <w:rsid w:val="107ADDFA"/>
    <w:rsid w:val="1271E591"/>
    <w:rsid w:val="12C6421C"/>
    <w:rsid w:val="132B720F"/>
    <w:rsid w:val="1390523F"/>
    <w:rsid w:val="13C4EAB2"/>
    <w:rsid w:val="1475A8F2"/>
    <w:rsid w:val="148BF2BD"/>
    <w:rsid w:val="14AE0AAD"/>
    <w:rsid w:val="1514DE56"/>
    <w:rsid w:val="15DACEB6"/>
    <w:rsid w:val="170B4D47"/>
    <w:rsid w:val="179F8543"/>
    <w:rsid w:val="18329F49"/>
    <w:rsid w:val="1849AE33"/>
    <w:rsid w:val="184C7F18"/>
    <w:rsid w:val="18600318"/>
    <w:rsid w:val="18A71DA8"/>
    <w:rsid w:val="19B48F9B"/>
    <w:rsid w:val="19D92C01"/>
    <w:rsid w:val="19FA1FAF"/>
    <w:rsid w:val="1A8DA7D9"/>
    <w:rsid w:val="1ABAFC89"/>
    <w:rsid w:val="1ADDC6AD"/>
    <w:rsid w:val="1B2D6BB8"/>
    <w:rsid w:val="1B9B04D6"/>
    <w:rsid w:val="1C3C60B6"/>
    <w:rsid w:val="1CCE680E"/>
    <w:rsid w:val="1D7A8ECB"/>
    <w:rsid w:val="1DE532CC"/>
    <w:rsid w:val="1DF9D35F"/>
    <w:rsid w:val="1E44C03B"/>
    <w:rsid w:val="1F937B65"/>
    <w:rsid w:val="201C2511"/>
    <w:rsid w:val="205CBE79"/>
    <w:rsid w:val="20B8E60F"/>
    <w:rsid w:val="218384DF"/>
    <w:rsid w:val="224C926D"/>
    <w:rsid w:val="226F5A4C"/>
    <w:rsid w:val="22CD4482"/>
    <w:rsid w:val="232CBA84"/>
    <w:rsid w:val="24898D1A"/>
    <w:rsid w:val="250072F1"/>
    <w:rsid w:val="25C8DB72"/>
    <w:rsid w:val="27116EF9"/>
    <w:rsid w:val="2753FE39"/>
    <w:rsid w:val="27DB2A59"/>
    <w:rsid w:val="2865EB52"/>
    <w:rsid w:val="28BD4172"/>
    <w:rsid w:val="292DB2E2"/>
    <w:rsid w:val="29B10465"/>
    <w:rsid w:val="2A17FE72"/>
    <w:rsid w:val="2AFCC092"/>
    <w:rsid w:val="2B3F15EA"/>
    <w:rsid w:val="2BEEEDE7"/>
    <w:rsid w:val="2C62AF79"/>
    <w:rsid w:val="2DF66381"/>
    <w:rsid w:val="2ED7DA4D"/>
    <w:rsid w:val="2F1F13CD"/>
    <w:rsid w:val="2F27FD21"/>
    <w:rsid w:val="2F929F2D"/>
    <w:rsid w:val="300F0B12"/>
    <w:rsid w:val="302AF81D"/>
    <w:rsid w:val="30872DE0"/>
    <w:rsid w:val="3107268D"/>
    <w:rsid w:val="31CF4A5A"/>
    <w:rsid w:val="31F7CA57"/>
    <w:rsid w:val="326D00BC"/>
    <w:rsid w:val="32CAF761"/>
    <w:rsid w:val="336B1ABB"/>
    <w:rsid w:val="33E39403"/>
    <w:rsid w:val="33FFF419"/>
    <w:rsid w:val="3466C7C2"/>
    <w:rsid w:val="3521421E"/>
    <w:rsid w:val="3589AABD"/>
    <w:rsid w:val="35BC423A"/>
    <w:rsid w:val="35C8930B"/>
    <w:rsid w:val="35F5B504"/>
    <w:rsid w:val="3694D9C8"/>
    <w:rsid w:val="369774F3"/>
    <w:rsid w:val="371449DA"/>
    <w:rsid w:val="379E6884"/>
    <w:rsid w:val="38773E03"/>
    <w:rsid w:val="38C94B91"/>
    <w:rsid w:val="38D675BC"/>
    <w:rsid w:val="38FCAD20"/>
    <w:rsid w:val="3991C2A1"/>
    <w:rsid w:val="39E4AADD"/>
    <w:rsid w:val="3A41F19A"/>
    <w:rsid w:val="3AAE7D2A"/>
    <w:rsid w:val="3B2F5018"/>
    <w:rsid w:val="3B51BDB9"/>
    <w:rsid w:val="3B7E723F"/>
    <w:rsid w:val="3BBC1389"/>
    <w:rsid w:val="3C1B2585"/>
    <w:rsid w:val="3D6E203F"/>
    <w:rsid w:val="3DD75C08"/>
    <w:rsid w:val="3E2644B7"/>
    <w:rsid w:val="3E29E6AD"/>
    <w:rsid w:val="3E895E7B"/>
    <w:rsid w:val="3EE1AB76"/>
    <w:rsid w:val="3F2FE1F5"/>
    <w:rsid w:val="3F36DE54"/>
    <w:rsid w:val="3F57F23C"/>
    <w:rsid w:val="414C80DE"/>
    <w:rsid w:val="420042F8"/>
    <w:rsid w:val="4250714C"/>
    <w:rsid w:val="42DBED61"/>
    <w:rsid w:val="43024519"/>
    <w:rsid w:val="43972BBE"/>
    <w:rsid w:val="441E0569"/>
    <w:rsid w:val="442D8485"/>
    <w:rsid w:val="447F5035"/>
    <w:rsid w:val="451B23ED"/>
    <w:rsid w:val="452421D6"/>
    <w:rsid w:val="45BC00D9"/>
    <w:rsid w:val="45F85154"/>
    <w:rsid w:val="4661C33F"/>
    <w:rsid w:val="478FBEFE"/>
    <w:rsid w:val="483040C1"/>
    <w:rsid w:val="484CADF6"/>
    <w:rsid w:val="486A2950"/>
    <w:rsid w:val="48A80545"/>
    <w:rsid w:val="48DBFCFB"/>
    <w:rsid w:val="48F230A9"/>
    <w:rsid w:val="498AE49F"/>
    <w:rsid w:val="49B069DD"/>
    <w:rsid w:val="49E5397F"/>
    <w:rsid w:val="4A8D46ED"/>
    <w:rsid w:val="4B6C1C9C"/>
    <w:rsid w:val="4BDB35F6"/>
    <w:rsid w:val="4C29174E"/>
    <w:rsid w:val="4DCBA52B"/>
    <w:rsid w:val="4E2E19D7"/>
    <w:rsid w:val="4E728072"/>
    <w:rsid w:val="4E9F8245"/>
    <w:rsid w:val="4F49BAC2"/>
    <w:rsid w:val="4F7A1CDB"/>
    <w:rsid w:val="4F8C66BF"/>
    <w:rsid w:val="503B52A6"/>
    <w:rsid w:val="51272813"/>
    <w:rsid w:val="51DB3D8C"/>
    <w:rsid w:val="52A87859"/>
    <w:rsid w:val="52BDABFF"/>
    <w:rsid w:val="5372F368"/>
    <w:rsid w:val="54FEE1A5"/>
    <w:rsid w:val="5540AD7D"/>
    <w:rsid w:val="557DB7C5"/>
    <w:rsid w:val="5639592D"/>
    <w:rsid w:val="565B3D15"/>
    <w:rsid w:val="568758A9"/>
    <w:rsid w:val="57BCE7F8"/>
    <w:rsid w:val="590738B8"/>
    <w:rsid w:val="59AC37C4"/>
    <w:rsid w:val="5BCDAB04"/>
    <w:rsid w:val="5C589FE3"/>
    <w:rsid w:val="5CB140B7"/>
    <w:rsid w:val="5ECB235B"/>
    <w:rsid w:val="5F2A4A42"/>
    <w:rsid w:val="5F61C006"/>
    <w:rsid w:val="5F640B9C"/>
    <w:rsid w:val="5FB7A7CD"/>
    <w:rsid w:val="5FBB9004"/>
    <w:rsid w:val="60517670"/>
    <w:rsid w:val="60B792A7"/>
    <w:rsid w:val="60C47007"/>
    <w:rsid w:val="61039C73"/>
    <w:rsid w:val="612CF2B1"/>
    <w:rsid w:val="61CA0DD8"/>
    <w:rsid w:val="61DEE52A"/>
    <w:rsid w:val="626C7C3F"/>
    <w:rsid w:val="628FB76E"/>
    <w:rsid w:val="62BA228B"/>
    <w:rsid w:val="62DBBD4F"/>
    <w:rsid w:val="635E34E5"/>
    <w:rsid w:val="63D60B0C"/>
    <w:rsid w:val="64778DB0"/>
    <w:rsid w:val="64F6EF34"/>
    <w:rsid w:val="658C2FCE"/>
    <w:rsid w:val="65C10C85"/>
    <w:rsid w:val="66F3D12C"/>
    <w:rsid w:val="679F5A3A"/>
    <w:rsid w:val="67F244B8"/>
    <w:rsid w:val="683D4C65"/>
    <w:rsid w:val="68A83DDA"/>
    <w:rsid w:val="694AFED3"/>
    <w:rsid w:val="6A0617CD"/>
    <w:rsid w:val="6AB87331"/>
    <w:rsid w:val="6AC1B875"/>
    <w:rsid w:val="6ADAE0D2"/>
    <w:rsid w:val="6B7D2BC9"/>
    <w:rsid w:val="6C1A3A14"/>
    <w:rsid w:val="6C69A5E6"/>
    <w:rsid w:val="6DE9A4D3"/>
    <w:rsid w:val="6E044CE8"/>
    <w:rsid w:val="6E631111"/>
    <w:rsid w:val="6EDBE960"/>
    <w:rsid w:val="6F3D7B9F"/>
    <w:rsid w:val="7130F9F9"/>
    <w:rsid w:val="71C04B40"/>
    <w:rsid w:val="71C230D6"/>
    <w:rsid w:val="71E69D81"/>
    <w:rsid w:val="721C431E"/>
    <w:rsid w:val="722F13EA"/>
    <w:rsid w:val="727CC48F"/>
    <w:rsid w:val="728BA4F5"/>
    <w:rsid w:val="72DE0531"/>
    <w:rsid w:val="739B838A"/>
    <w:rsid w:val="7442021D"/>
    <w:rsid w:val="7470168B"/>
    <w:rsid w:val="74AC8B49"/>
    <w:rsid w:val="75D75B16"/>
    <w:rsid w:val="7692D114"/>
    <w:rsid w:val="76DFF278"/>
    <w:rsid w:val="78A53947"/>
    <w:rsid w:val="78B286B6"/>
    <w:rsid w:val="78DF29A5"/>
    <w:rsid w:val="7A6A1B67"/>
    <w:rsid w:val="7AE71ED6"/>
    <w:rsid w:val="7B885070"/>
    <w:rsid w:val="7B9B3D19"/>
    <w:rsid w:val="7D210C69"/>
    <w:rsid w:val="7E4508EB"/>
    <w:rsid w:val="7F27F451"/>
    <w:rsid w:val="7F8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682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5CA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A8"/>
  </w:style>
  <w:style w:type="paragraph" w:styleId="Paragrafoelenco">
    <w:name w:val="List Paragraph"/>
    <w:basedOn w:val="Normale"/>
    <w:uiPriority w:val="34"/>
    <w:qFormat/>
    <w:rsid w:val="00DB0895"/>
    <w:pPr>
      <w:ind w:left="720"/>
      <w:contextualSpacing/>
    </w:pPr>
  </w:style>
  <w:style w:type="paragraph" w:customStyle="1" w:styleId="Standard">
    <w:name w:val="Standard"/>
    <w:rsid w:val="003602C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54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5A44"/>
    <w:pPr>
      <w:spacing w:line="240" w:lineRule="auto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5A44"/>
    <w:rPr>
      <w:rFonts w:ascii="Times New Roman" w:hAnsi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45A44"/>
    <w:pPr>
      <w:spacing w:after="120"/>
      <w:jc w:val="both"/>
    </w:pPr>
    <w:rPr>
      <w:rFonts w:cs="Times New Roman"/>
    </w:rPr>
  </w:style>
  <w:style w:type="character" w:customStyle="1" w:styleId="ArticolatoCarattere">
    <w:name w:val="Articolato Carattere"/>
    <w:basedOn w:val="Carpredefinitoparagrafo"/>
    <w:link w:val="Articolato"/>
    <w:rsid w:val="00545A44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4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e"/>
    <w:uiPriority w:val="1"/>
    <w:rsid w:val="020A7E9E"/>
    <w:pPr>
      <w:spacing w:after="0"/>
    </w:pPr>
    <w:rPr>
      <w:rFonts w:cs="Times New Roman"/>
      <w:color w:val="000000" w:themeColor="text1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60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BD9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BD9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374F"/>
    <w:pPr>
      <w:spacing w:after="0" w:line="240" w:lineRule="auto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C20004"/>
    <w:rPr>
      <w:color w:val="0563C1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8C37E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2B1A12E364D899CBA0D8A4C876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8472B-C5FF-4908-A529-2657B8AFFA0D}"/>
      </w:docPartPr>
      <w:docPartBody>
        <w:p w:rsidR="00A720BE" w:rsidRDefault="00173DAA" w:rsidP="00173DAA">
          <w:pPr>
            <w:pStyle w:val="D382B1A12E364D899CBA0D8A4C87614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AA"/>
    <w:rsid w:val="00173DAA"/>
    <w:rsid w:val="001F0EC8"/>
    <w:rsid w:val="002E2475"/>
    <w:rsid w:val="00536BF7"/>
    <w:rsid w:val="005D28FD"/>
    <w:rsid w:val="0067665A"/>
    <w:rsid w:val="006C20F8"/>
    <w:rsid w:val="0080413E"/>
    <w:rsid w:val="00820B6A"/>
    <w:rsid w:val="009A0521"/>
    <w:rsid w:val="00A669E6"/>
    <w:rsid w:val="00A720BE"/>
    <w:rsid w:val="00A947BB"/>
    <w:rsid w:val="00BD4782"/>
    <w:rsid w:val="00C110B1"/>
    <w:rsid w:val="00CD47B5"/>
    <w:rsid w:val="00DB4A50"/>
    <w:rsid w:val="00E45DAF"/>
    <w:rsid w:val="00EC7691"/>
    <w:rsid w:val="00E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382B1A12E364D899CBA0D8A4C876143">
    <w:name w:val="D382B1A12E364D899CBA0D8A4C876143"/>
    <w:rsid w:val="00173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E COMUNITÀ ENERGETICHE</TermName>
          <TermId xmlns="http://schemas.microsoft.com/office/infopath/2007/PartnerControls">d79aa9fc-3a4a-4cca-84ed-d627f2c2febb</TermId>
        </TermInfo>
        <TermInfo xmlns="http://schemas.microsoft.com/office/infopath/2007/PartnerControls">
          <TermName xmlns="http://schemas.microsoft.com/office/infopath/2007/PartnerControls"> PNRR</TermName>
          <TermId xmlns="http://schemas.microsoft.com/office/infopath/2007/PartnerControls">3dc5038f-17b8-4e2b-ae2d-0247b379a7bf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collettivo e comunità energetiche</TermName>
          <TermId xmlns="http://schemas.microsoft.com/office/infopath/2007/PartnerControls">44c0816c-5021-44cb-92f1-56950d1961df</TermId>
        </TermInfo>
        <TermInfo xmlns="http://schemas.microsoft.com/office/infopath/2007/PartnerControls">
          <TermName xmlns="http://schemas.microsoft.com/office/infopath/2007/PartnerControls"> Comunità energetiche 5000abitanti</TermName>
          <TermId xmlns="http://schemas.microsoft.com/office/infopath/2007/PartnerControls">f6ab630a-a668-49e2-b600-d8e6e6ef7a3d</TermId>
        </TermInfo>
      </Terms>
    </GSE_Tag_Categoria_Documento_Hidden>
    <GSE_Data_Documento xmlns="F713B5F9-DAB8-4276-A218-1CD52E48CA38">2024-03-17T23:00:00+00:00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E0A8-EFAD-4502-8990-B7EF8090F47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713B5F9-DAB8-4276-A218-1CD52E48CA3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304157-208F-42E7-9A68-1DA5DE542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5F9-DAB8-4276-A218-1CD52E48C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CF321-573D-4425-93D7-5F899EFCC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37EE9-AB4D-4C2F-819E-171E191B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2024-09-25T16:25:00Z</dcterms:created>
  <dcterms:modified xsi:type="dcterms:W3CDTF">2024-09-25T16:25:00Z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0x010100F9D29725B9904938AB855E27471558CF002DA80C43F21AAB438D0ECFC6E7EC3AF5</vt:lpwstr>
  </property>
  <property fmtid="{D5CDD505-2E9C-101B-9397-08002B2CF9AE}" pid="4" name="GSE_Tag_Tipologia_Documento">
    <vt:lpwstr>131</vt:lpwstr>
  </property>
  <property fmtid="{D5CDD505-2E9C-101B-9397-08002B2CF9AE}" pid="5" name="GSE_Tag">
    <vt:lpwstr>272;#AUTOCONSUMO E COMUNITÀ ENERGETICHE|d79aa9fc-3a4a-4cca-84ed-d627f2c2febb;#285;# PNRR|3dc5038f-17b8-4e2b-ae2d-0247b379a7bf</vt:lpwstr>
  </property>
  <property fmtid="{D5CDD505-2E9C-101B-9397-08002B2CF9AE}" pid="6" name="GSE_Tag_Categoria_Documento">
    <vt:lpwstr>273;#Autoconsumo collettivo e comunità energetiche|44c0816c-5021-44cb-92f1-56950d1961df;#311;# Comunità energetiche 5000abitanti|f6ab630a-a668-49e2-b600-d8e6e6ef7a3d</vt:lpwstr>
  </property>
</Properties>
</file>